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ED921">
      <w:pPr>
        <w:spacing w:beforeLines="50" w:line="360" w:lineRule="auto"/>
        <w:jc w:val="center"/>
        <w:rPr>
          <w:rFonts w:ascii="宋体" w:hAnsi="宋体"/>
          <w:sz w:val="52"/>
          <w:szCs w:val="52"/>
        </w:rPr>
      </w:pPr>
    </w:p>
    <w:p w14:paraId="5E2571DD">
      <w:pPr>
        <w:spacing w:beforeLines="50" w:line="360" w:lineRule="auto"/>
        <w:jc w:val="center"/>
        <w:rPr>
          <w:rFonts w:ascii="仿宋_GB2312" w:hAnsi="宋体" w:eastAsia="仿宋_GB2312"/>
          <w:b/>
          <w:sz w:val="48"/>
          <w:szCs w:val="48"/>
        </w:rPr>
      </w:pPr>
    </w:p>
    <w:p w14:paraId="7FF0FA13">
      <w:pPr>
        <w:spacing w:beforeLines="50" w:line="360" w:lineRule="auto"/>
        <w:jc w:val="center"/>
        <w:rPr>
          <w:rFonts w:ascii="仿宋_GB2312" w:hAnsi="宋体" w:eastAsia="仿宋_GB2312"/>
          <w:b/>
          <w:sz w:val="48"/>
          <w:szCs w:val="48"/>
        </w:rPr>
      </w:pPr>
    </w:p>
    <w:p w14:paraId="59E08AA3">
      <w:pPr>
        <w:snapToGrid w:val="0"/>
        <w:spacing w:beforeLines="50" w:line="360" w:lineRule="auto"/>
        <w:jc w:val="center"/>
        <w:rPr>
          <w:rFonts w:ascii="华文新魏" w:hAnsi="宋体" w:eastAsia="华文新魏"/>
          <w:sz w:val="72"/>
          <w:szCs w:val="72"/>
        </w:rPr>
      </w:pPr>
      <w:r>
        <w:rPr>
          <w:rFonts w:hint="eastAsia" w:ascii="华文新魏" w:hAnsi="宋体" w:eastAsia="华文新魏"/>
          <w:sz w:val="72"/>
          <w:szCs w:val="72"/>
        </w:rPr>
        <w:t>招 标 文 件</w:t>
      </w:r>
    </w:p>
    <w:p w14:paraId="01860B66">
      <w:pPr>
        <w:snapToGrid w:val="0"/>
        <w:spacing w:beforeLines="50" w:line="360" w:lineRule="auto"/>
        <w:jc w:val="center"/>
        <w:rPr>
          <w:rFonts w:ascii="仿宋_GB2312" w:hAnsi="宋体" w:eastAsia="仿宋_GB2312"/>
          <w:sz w:val="30"/>
          <w:szCs w:val="72"/>
        </w:rPr>
      </w:pPr>
      <w:r>
        <w:rPr>
          <w:rFonts w:hint="eastAsia" w:ascii="仿宋_GB2312" w:hAnsi="宋体" w:eastAsia="仿宋_GB2312"/>
          <w:sz w:val="30"/>
          <w:szCs w:val="72"/>
        </w:rPr>
        <w:t>（全流程电子化评标）</w:t>
      </w:r>
    </w:p>
    <w:p w14:paraId="6DF9AA3F">
      <w:pPr>
        <w:snapToGrid w:val="0"/>
        <w:spacing w:beforeLines="50" w:line="360" w:lineRule="auto"/>
        <w:rPr>
          <w:rFonts w:ascii="仿宋_GB2312" w:hAnsi="宋体" w:eastAsia="仿宋_GB2312"/>
          <w:sz w:val="30"/>
          <w:szCs w:val="72"/>
        </w:rPr>
      </w:pPr>
    </w:p>
    <w:p w14:paraId="35BF2E81">
      <w:pPr>
        <w:pStyle w:val="15"/>
        <w:snapToGrid w:val="0"/>
        <w:spacing w:line="360" w:lineRule="auto"/>
        <w:ind w:firstLine="1506" w:firstLineChars="500"/>
        <w:rPr>
          <w:rFonts w:ascii="仿宋" w:hAnsi="仿宋" w:eastAsia="仿宋" w:cs="仿宋"/>
          <w:b/>
          <w:bCs/>
          <w:sz w:val="30"/>
          <w:szCs w:val="30"/>
        </w:rPr>
      </w:pPr>
    </w:p>
    <w:p w14:paraId="167306B3">
      <w:pPr>
        <w:pStyle w:val="15"/>
        <w:snapToGrid w:val="0"/>
        <w:spacing w:line="360" w:lineRule="auto"/>
        <w:ind w:firstLine="1506" w:firstLineChars="500"/>
        <w:rPr>
          <w:rFonts w:ascii="仿宋" w:hAnsi="仿宋" w:eastAsia="仿宋" w:cs="仿宋"/>
          <w:b/>
          <w:bCs/>
          <w:sz w:val="30"/>
          <w:szCs w:val="30"/>
        </w:rPr>
      </w:pPr>
    </w:p>
    <w:p w14:paraId="498606AF">
      <w:pPr>
        <w:pStyle w:val="15"/>
        <w:snapToGrid w:val="0"/>
        <w:spacing w:line="360" w:lineRule="auto"/>
        <w:ind w:firstLine="1506" w:firstLineChars="500"/>
        <w:rPr>
          <w:rFonts w:ascii="仿宋" w:hAnsi="仿宋" w:eastAsia="仿宋" w:cs="仿宋"/>
          <w:b/>
          <w:bCs/>
          <w:sz w:val="30"/>
          <w:szCs w:val="30"/>
        </w:rPr>
      </w:pPr>
    </w:p>
    <w:p w14:paraId="446C8FC2">
      <w:pPr>
        <w:pStyle w:val="15"/>
        <w:snapToGrid w:val="0"/>
        <w:spacing w:line="360" w:lineRule="auto"/>
        <w:ind w:left="3158" w:leftChars="800" w:right="1632" w:rightChars="777" w:hanging="1478"/>
        <w:jc w:val="left"/>
        <w:rPr>
          <w:rFonts w:ascii="仿宋" w:hAnsi="仿宋" w:eastAsia="仿宋" w:cs="仿宋"/>
          <w:b/>
          <w:bCs/>
          <w:sz w:val="30"/>
          <w:szCs w:val="30"/>
        </w:rPr>
      </w:pPr>
      <w:r>
        <w:rPr>
          <w:rFonts w:hint="eastAsia" w:ascii="仿宋" w:hAnsi="仿宋" w:eastAsia="仿宋" w:cs="仿宋"/>
          <w:b/>
          <w:bCs/>
          <w:sz w:val="30"/>
          <w:szCs w:val="30"/>
        </w:rPr>
        <w:t>项目名称：实验室仪器设备采购</w:t>
      </w:r>
    </w:p>
    <w:p w14:paraId="707CF3F9">
      <w:pPr>
        <w:pStyle w:val="15"/>
        <w:snapToGrid w:val="0"/>
        <w:spacing w:line="360" w:lineRule="auto"/>
        <w:ind w:firstLine="1684" w:firstLineChars="559"/>
        <w:jc w:val="left"/>
        <w:rPr>
          <w:rFonts w:hint="eastAsia" w:ascii="仿宋" w:hAnsi="仿宋" w:eastAsia="仿宋" w:cs="仿宋"/>
          <w:b/>
          <w:bCs/>
          <w:sz w:val="30"/>
          <w:szCs w:val="30"/>
          <w:lang w:eastAsia="zh-CN"/>
        </w:rPr>
      </w:pPr>
      <w:r>
        <w:rPr>
          <w:rFonts w:hint="eastAsia" w:ascii="仿宋" w:hAnsi="仿宋" w:eastAsia="仿宋" w:cs="仿宋"/>
          <w:b/>
          <w:bCs/>
          <w:sz w:val="30"/>
          <w:szCs w:val="30"/>
        </w:rPr>
        <w:t>项目编号：</w:t>
      </w:r>
      <w:r>
        <w:rPr>
          <w:rFonts w:hint="eastAsia" w:ascii="仿宋" w:hAnsi="仿宋" w:eastAsia="仿宋" w:cs="仿宋"/>
          <w:b/>
          <w:bCs/>
          <w:sz w:val="30"/>
          <w:szCs w:val="30"/>
          <w:lang w:eastAsia="zh-CN"/>
        </w:rPr>
        <w:t>GXZC2026-G1-003147-JYZX</w:t>
      </w:r>
    </w:p>
    <w:p w14:paraId="5728947F">
      <w:pPr>
        <w:pStyle w:val="15"/>
        <w:snapToGrid w:val="0"/>
        <w:spacing w:line="360" w:lineRule="auto"/>
        <w:ind w:firstLine="1684" w:firstLineChars="559"/>
        <w:jc w:val="left"/>
        <w:rPr>
          <w:rFonts w:ascii="仿宋" w:hAnsi="仿宋" w:eastAsia="仿宋" w:cs="仿宋"/>
          <w:b/>
          <w:bCs/>
          <w:sz w:val="30"/>
          <w:szCs w:val="30"/>
        </w:rPr>
      </w:pPr>
      <w:r>
        <w:rPr>
          <w:rFonts w:hint="eastAsia" w:ascii="仿宋" w:hAnsi="仿宋" w:eastAsia="仿宋" w:cs="仿宋"/>
          <w:b/>
          <w:bCs/>
          <w:sz w:val="30"/>
          <w:szCs w:val="30"/>
        </w:rPr>
        <w:t>采 购 人：广西师范大学</w:t>
      </w:r>
    </w:p>
    <w:p w14:paraId="59ECDDC4">
      <w:pPr>
        <w:pStyle w:val="15"/>
        <w:snapToGrid w:val="0"/>
        <w:spacing w:line="360" w:lineRule="auto"/>
        <w:ind w:firstLine="1684" w:firstLineChars="559"/>
        <w:jc w:val="left"/>
        <w:rPr>
          <w:rFonts w:ascii="仿宋" w:hAnsi="仿宋" w:eastAsia="仿宋" w:cs="仿宋"/>
          <w:b/>
          <w:bCs/>
          <w:sz w:val="30"/>
          <w:szCs w:val="30"/>
        </w:rPr>
      </w:pPr>
      <w:r>
        <w:rPr>
          <w:rFonts w:hint="eastAsia" w:ascii="仿宋" w:hAnsi="仿宋" w:eastAsia="仿宋" w:cs="仿宋"/>
          <w:b/>
          <w:bCs/>
          <w:sz w:val="30"/>
          <w:szCs w:val="30"/>
        </w:rPr>
        <w:t>采购代理机构：建银工程咨询有限责任公司</w:t>
      </w:r>
    </w:p>
    <w:p w14:paraId="629F3434">
      <w:pPr>
        <w:pStyle w:val="15"/>
        <w:snapToGrid w:val="0"/>
        <w:spacing w:before="50" w:after="120" w:line="360" w:lineRule="auto"/>
        <w:jc w:val="center"/>
        <w:rPr>
          <w:rFonts w:ascii="仿宋" w:hAnsi="仿宋" w:eastAsia="仿宋" w:cs="仿宋"/>
          <w:b/>
          <w:bCs/>
          <w:w w:val="95"/>
          <w:sz w:val="30"/>
          <w:szCs w:val="30"/>
        </w:rPr>
      </w:pPr>
    </w:p>
    <w:p w14:paraId="0AD4D84F">
      <w:pPr>
        <w:pStyle w:val="15"/>
        <w:snapToGrid w:val="0"/>
        <w:spacing w:before="50" w:after="120" w:line="360" w:lineRule="auto"/>
        <w:jc w:val="center"/>
        <w:rPr>
          <w:rFonts w:ascii="仿宋" w:hAnsi="仿宋" w:eastAsia="仿宋" w:cs="仿宋"/>
          <w:b/>
          <w:bCs/>
          <w:w w:val="95"/>
          <w:sz w:val="30"/>
          <w:szCs w:val="30"/>
        </w:rPr>
      </w:pPr>
    </w:p>
    <w:p w14:paraId="1A8BA323">
      <w:pPr>
        <w:pStyle w:val="15"/>
        <w:spacing w:before="120" w:after="120" w:line="360" w:lineRule="auto"/>
        <w:jc w:val="center"/>
        <w:rPr>
          <w:rFonts w:ascii="仿宋_GB2312" w:hAnsi="宋体" w:eastAsia="仿宋_GB2312"/>
        </w:rPr>
      </w:pPr>
      <w:r>
        <w:rPr>
          <w:rFonts w:hint="eastAsia" w:ascii="仿宋" w:hAnsi="仿宋" w:eastAsia="仿宋" w:cs="仿宋"/>
          <w:b/>
          <w:bCs/>
          <w:w w:val="95"/>
          <w:sz w:val="30"/>
          <w:szCs w:val="30"/>
        </w:rPr>
        <w:t>2026年9月</w:t>
      </w:r>
    </w:p>
    <w:p w14:paraId="1544A5F1">
      <w:pPr>
        <w:pStyle w:val="12"/>
        <w:kinsoku w:val="0"/>
        <w:overflowPunct w:val="0"/>
        <w:rPr>
          <w:sz w:val="40"/>
        </w:rPr>
      </w:pPr>
    </w:p>
    <w:p w14:paraId="54B875B4">
      <w:pPr>
        <w:pStyle w:val="15"/>
        <w:spacing w:before="120" w:after="120" w:line="360" w:lineRule="auto"/>
        <w:jc w:val="center"/>
        <w:rPr>
          <w:rFonts w:ascii="仿宋_GB2312" w:hAnsi="宋体" w:eastAsia="仿宋_GB2312"/>
        </w:rPr>
        <w:sectPr>
          <w:headerReference r:id="rId5" w:type="first"/>
          <w:footerReference r:id="rId7" w:type="first"/>
          <w:headerReference r:id="rId3" w:type="default"/>
          <w:headerReference r:id="rId4" w:type="even"/>
          <w:footerReference r:id="rId6" w:type="even"/>
          <w:pgSz w:w="11906" w:h="16838"/>
          <w:pgMar w:top="1134" w:right="1247" w:bottom="1560" w:left="1247" w:header="851" w:footer="992" w:gutter="0"/>
          <w:pgNumType w:start="0"/>
          <w:cols w:space="720" w:num="1"/>
          <w:titlePg/>
          <w:docGrid w:linePitch="312" w:charSpace="0"/>
        </w:sectPr>
      </w:pPr>
    </w:p>
    <w:p w14:paraId="672AF6C9"/>
    <w:p w14:paraId="62CBC9C3">
      <w:pPr>
        <w:pStyle w:val="15"/>
        <w:spacing w:before="120" w:after="120" w:line="360" w:lineRule="auto"/>
        <w:jc w:val="center"/>
        <w:rPr>
          <w:rFonts w:ascii="仿宋_GB2312" w:hAnsi="宋体" w:eastAsia="仿宋_GB2312"/>
          <w:sz w:val="32"/>
          <w:szCs w:val="32"/>
        </w:rPr>
      </w:pPr>
      <w:r>
        <w:rPr>
          <w:rFonts w:hint="eastAsia" w:ascii="仿宋_GB2312" w:hAnsi="宋体" w:eastAsia="仿宋_GB2312"/>
          <w:sz w:val="32"/>
          <w:szCs w:val="32"/>
        </w:rPr>
        <w:t>目    录</w:t>
      </w:r>
    </w:p>
    <w:p w14:paraId="68A75008">
      <w:pPr>
        <w:pStyle w:val="19"/>
        <w:tabs>
          <w:tab w:val="right" w:leader="dot" w:pos="9412"/>
          <w:tab w:val="clear" w:pos="8398"/>
        </w:tabs>
        <w:spacing w:line="480" w:lineRule="auto"/>
        <w:ind w:firstLine="0" w:firstLineChars="0"/>
        <w:rPr>
          <w:rFonts w:cs="宋体"/>
          <w:b w:val="0"/>
          <w:bCs w:val="0"/>
        </w:rPr>
      </w:pPr>
      <w:r>
        <w:rPr>
          <w:rFonts w:ascii="仿宋_GB2312" w:eastAsia="仿宋_GB2312"/>
          <w:b w:val="0"/>
        </w:rPr>
        <w:fldChar w:fldCharType="begin"/>
      </w:r>
      <w:r>
        <w:rPr>
          <w:rFonts w:hint="eastAsia" w:ascii="仿宋_GB2312" w:eastAsia="仿宋_GB2312"/>
          <w:b w:val="0"/>
        </w:rPr>
        <w:instrText xml:space="preserve">TOC \o "1-2" \h \z \u</w:instrText>
      </w:r>
      <w:r>
        <w:rPr>
          <w:rFonts w:ascii="仿宋_GB2312" w:eastAsia="仿宋_GB2312"/>
          <w:b w:val="0"/>
        </w:rPr>
        <w:fldChar w:fldCharType="separate"/>
      </w:r>
      <w:r>
        <w:fldChar w:fldCharType="begin"/>
      </w:r>
      <w:r>
        <w:instrText xml:space="preserve"> HYPERLINK \l "_Toc1489" </w:instrText>
      </w:r>
      <w:r>
        <w:fldChar w:fldCharType="separate"/>
      </w:r>
      <w:r>
        <w:rPr>
          <w:rFonts w:hint="eastAsia" w:cs="宋体"/>
          <w:b w:val="0"/>
          <w:bCs w:val="0"/>
          <w:kern w:val="0"/>
        </w:rPr>
        <w:t>第一章  招标公告</w:t>
      </w:r>
      <w:r>
        <w:rPr>
          <w:rFonts w:hint="eastAsia" w:cs="宋体"/>
          <w:b w:val="0"/>
          <w:bCs w:val="0"/>
        </w:rPr>
        <w:tab/>
      </w:r>
      <w:r>
        <w:rPr>
          <w:rFonts w:hint="eastAsia" w:cs="宋体"/>
          <w:b w:val="0"/>
          <w:bCs w:val="0"/>
        </w:rPr>
        <w:fldChar w:fldCharType="begin"/>
      </w:r>
      <w:r>
        <w:rPr>
          <w:rFonts w:hint="eastAsia" w:cs="宋体"/>
          <w:b w:val="0"/>
          <w:bCs w:val="0"/>
        </w:rPr>
        <w:instrText xml:space="preserve"> PAGEREF _Toc1489 \h </w:instrText>
      </w:r>
      <w:r>
        <w:rPr>
          <w:rFonts w:hint="eastAsia" w:cs="宋体"/>
          <w:b w:val="0"/>
          <w:bCs w:val="0"/>
        </w:rPr>
        <w:fldChar w:fldCharType="separate"/>
      </w:r>
      <w:r>
        <w:rPr>
          <w:rFonts w:hint="eastAsia" w:cs="宋体"/>
          <w:b w:val="0"/>
          <w:bCs w:val="0"/>
        </w:rPr>
        <w:t>2</w:t>
      </w:r>
      <w:r>
        <w:rPr>
          <w:rFonts w:hint="eastAsia" w:cs="宋体"/>
          <w:b w:val="0"/>
          <w:bCs w:val="0"/>
        </w:rPr>
        <w:fldChar w:fldCharType="end"/>
      </w:r>
      <w:r>
        <w:rPr>
          <w:rFonts w:hint="eastAsia" w:cs="宋体"/>
          <w:b w:val="0"/>
          <w:bCs w:val="0"/>
        </w:rPr>
        <w:fldChar w:fldCharType="end"/>
      </w:r>
    </w:p>
    <w:p w14:paraId="2C24223F">
      <w:pPr>
        <w:pStyle w:val="21"/>
        <w:tabs>
          <w:tab w:val="right" w:leader="dot" w:pos="9412"/>
        </w:tabs>
        <w:spacing w:line="480" w:lineRule="auto"/>
        <w:ind w:left="0" w:leftChars="0"/>
        <w:rPr>
          <w:rFonts w:ascii="宋体" w:hAnsi="宋体" w:cs="宋体"/>
          <w:sz w:val="24"/>
        </w:rPr>
      </w:pPr>
      <w:r>
        <w:fldChar w:fldCharType="begin"/>
      </w:r>
      <w:r>
        <w:instrText xml:space="preserve"> HYPERLINK \l "_Toc828" </w:instrText>
      </w:r>
      <w:r>
        <w:fldChar w:fldCharType="separate"/>
      </w:r>
      <w:r>
        <w:rPr>
          <w:rFonts w:hint="eastAsia" w:ascii="宋体" w:hAnsi="宋体" w:cs="宋体"/>
          <w:sz w:val="24"/>
        </w:rPr>
        <w:t>第二章  采购需求</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_Toc828 \h </w:instrText>
      </w:r>
      <w:r>
        <w:rPr>
          <w:rFonts w:hint="eastAsia" w:ascii="宋体" w:hAnsi="宋体" w:cs="宋体"/>
          <w:sz w:val="24"/>
        </w:rPr>
        <w:fldChar w:fldCharType="separate"/>
      </w:r>
      <w:r>
        <w:rPr>
          <w:rFonts w:hint="eastAsia" w:ascii="宋体" w:hAnsi="宋体" w:cs="宋体"/>
          <w:sz w:val="24"/>
        </w:rPr>
        <w:t>6</w:t>
      </w:r>
      <w:r>
        <w:rPr>
          <w:rFonts w:hint="eastAsia" w:ascii="宋体" w:hAnsi="宋体" w:cs="宋体"/>
          <w:sz w:val="24"/>
        </w:rPr>
        <w:fldChar w:fldCharType="end"/>
      </w:r>
      <w:r>
        <w:rPr>
          <w:rFonts w:hint="eastAsia" w:ascii="宋体" w:hAnsi="宋体" w:cs="宋体"/>
          <w:sz w:val="24"/>
        </w:rPr>
        <w:fldChar w:fldCharType="end"/>
      </w:r>
    </w:p>
    <w:p w14:paraId="769AB2AE">
      <w:pPr>
        <w:pStyle w:val="21"/>
        <w:tabs>
          <w:tab w:val="right" w:leader="dot" w:pos="9412"/>
        </w:tabs>
        <w:spacing w:line="480" w:lineRule="auto"/>
        <w:ind w:left="0" w:leftChars="0"/>
        <w:rPr>
          <w:rFonts w:ascii="宋体" w:hAnsi="宋体" w:cs="宋体"/>
          <w:sz w:val="24"/>
        </w:rPr>
      </w:pPr>
      <w:r>
        <w:fldChar w:fldCharType="begin"/>
      </w:r>
      <w:r>
        <w:instrText xml:space="preserve"> HYPERLINK \l "_Toc16535" </w:instrText>
      </w:r>
      <w:r>
        <w:fldChar w:fldCharType="separate"/>
      </w:r>
      <w:r>
        <w:rPr>
          <w:rFonts w:hint="eastAsia" w:ascii="宋体" w:hAnsi="宋体" w:cs="宋体"/>
          <w:sz w:val="24"/>
        </w:rPr>
        <w:t>第三章  投标人须知</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_Toc16535 \h </w:instrText>
      </w:r>
      <w:r>
        <w:rPr>
          <w:rFonts w:hint="eastAsia" w:ascii="宋体" w:hAnsi="宋体" w:cs="宋体"/>
          <w:sz w:val="24"/>
        </w:rPr>
        <w:fldChar w:fldCharType="separate"/>
      </w:r>
      <w:r>
        <w:rPr>
          <w:rFonts w:hint="eastAsia" w:ascii="宋体" w:hAnsi="宋体" w:cs="宋体"/>
          <w:sz w:val="24"/>
        </w:rPr>
        <w:t>61</w:t>
      </w:r>
      <w:r>
        <w:rPr>
          <w:rFonts w:hint="eastAsia" w:ascii="宋体" w:hAnsi="宋体" w:cs="宋体"/>
          <w:sz w:val="24"/>
        </w:rPr>
        <w:fldChar w:fldCharType="end"/>
      </w:r>
      <w:r>
        <w:rPr>
          <w:rFonts w:hint="eastAsia" w:ascii="宋体" w:hAnsi="宋体" w:cs="宋体"/>
          <w:sz w:val="24"/>
        </w:rPr>
        <w:fldChar w:fldCharType="end"/>
      </w:r>
    </w:p>
    <w:p w14:paraId="0079397E">
      <w:pPr>
        <w:pStyle w:val="21"/>
        <w:tabs>
          <w:tab w:val="right" w:leader="dot" w:pos="9412"/>
        </w:tabs>
        <w:spacing w:line="480" w:lineRule="auto"/>
        <w:ind w:left="0" w:leftChars="0"/>
        <w:rPr>
          <w:rFonts w:ascii="宋体" w:hAnsi="宋体" w:cs="宋体"/>
          <w:sz w:val="24"/>
        </w:rPr>
      </w:pPr>
      <w:r>
        <w:fldChar w:fldCharType="begin"/>
      </w:r>
      <w:r>
        <w:instrText xml:space="preserve"> HYPERLINK \l "_Toc27810" </w:instrText>
      </w:r>
      <w:r>
        <w:fldChar w:fldCharType="separate"/>
      </w:r>
      <w:r>
        <w:rPr>
          <w:rFonts w:hint="eastAsia" w:ascii="宋体" w:hAnsi="宋体" w:cs="宋体"/>
          <w:sz w:val="24"/>
        </w:rPr>
        <w:t>第四章  评标方法及评标标准</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_Toc27810 \h </w:instrText>
      </w:r>
      <w:r>
        <w:rPr>
          <w:rFonts w:hint="eastAsia" w:ascii="宋体" w:hAnsi="宋体" w:cs="宋体"/>
          <w:sz w:val="24"/>
        </w:rPr>
        <w:fldChar w:fldCharType="separate"/>
      </w:r>
      <w:r>
        <w:rPr>
          <w:rFonts w:hint="eastAsia" w:ascii="宋体" w:hAnsi="宋体" w:cs="宋体"/>
          <w:sz w:val="24"/>
        </w:rPr>
        <w:t>83</w:t>
      </w:r>
      <w:r>
        <w:rPr>
          <w:rFonts w:hint="eastAsia" w:ascii="宋体" w:hAnsi="宋体" w:cs="宋体"/>
          <w:sz w:val="24"/>
        </w:rPr>
        <w:fldChar w:fldCharType="end"/>
      </w:r>
      <w:r>
        <w:rPr>
          <w:rFonts w:hint="eastAsia" w:ascii="宋体" w:hAnsi="宋体" w:cs="宋体"/>
          <w:sz w:val="24"/>
        </w:rPr>
        <w:fldChar w:fldCharType="end"/>
      </w:r>
    </w:p>
    <w:p w14:paraId="3E44D9DF">
      <w:pPr>
        <w:pStyle w:val="21"/>
        <w:tabs>
          <w:tab w:val="right" w:leader="dot" w:pos="9412"/>
        </w:tabs>
        <w:spacing w:line="480" w:lineRule="auto"/>
        <w:ind w:left="0" w:leftChars="0"/>
        <w:rPr>
          <w:rFonts w:ascii="宋体" w:hAnsi="宋体" w:cs="宋体"/>
          <w:sz w:val="24"/>
        </w:rPr>
      </w:pPr>
      <w:r>
        <w:fldChar w:fldCharType="begin"/>
      </w:r>
      <w:r>
        <w:instrText xml:space="preserve"> HYPERLINK \l "_Toc6006" </w:instrText>
      </w:r>
      <w:r>
        <w:fldChar w:fldCharType="separate"/>
      </w:r>
      <w:r>
        <w:rPr>
          <w:rFonts w:hint="eastAsia" w:ascii="宋体" w:hAnsi="宋体" w:cs="宋体"/>
          <w:sz w:val="24"/>
        </w:rPr>
        <w:t>第五章  拟签订的合同文本</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_Toc6006 \h </w:instrText>
      </w:r>
      <w:r>
        <w:rPr>
          <w:rFonts w:hint="eastAsia" w:ascii="宋体" w:hAnsi="宋体" w:cs="宋体"/>
          <w:sz w:val="24"/>
        </w:rPr>
        <w:fldChar w:fldCharType="separate"/>
      </w:r>
      <w:r>
        <w:rPr>
          <w:rFonts w:hint="eastAsia" w:ascii="宋体" w:hAnsi="宋体" w:cs="宋体"/>
          <w:sz w:val="24"/>
        </w:rPr>
        <w:t>99</w:t>
      </w:r>
      <w:r>
        <w:rPr>
          <w:rFonts w:hint="eastAsia" w:ascii="宋体" w:hAnsi="宋体" w:cs="宋体"/>
          <w:sz w:val="24"/>
        </w:rPr>
        <w:fldChar w:fldCharType="end"/>
      </w:r>
      <w:r>
        <w:rPr>
          <w:rFonts w:hint="eastAsia" w:ascii="宋体" w:hAnsi="宋体" w:cs="宋体"/>
          <w:sz w:val="24"/>
        </w:rPr>
        <w:fldChar w:fldCharType="end"/>
      </w:r>
    </w:p>
    <w:p w14:paraId="6E275458">
      <w:pPr>
        <w:pStyle w:val="21"/>
        <w:tabs>
          <w:tab w:val="right" w:leader="dot" w:pos="9412"/>
        </w:tabs>
        <w:spacing w:line="480" w:lineRule="auto"/>
        <w:ind w:left="0" w:leftChars="0"/>
        <w:rPr>
          <w:rFonts w:ascii="宋体" w:hAnsi="宋体" w:cs="宋体"/>
          <w:sz w:val="24"/>
        </w:rPr>
      </w:pPr>
      <w:r>
        <w:fldChar w:fldCharType="begin"/>
      </w:r>
      <w:r>
        <w:instrText xml:space="preserve"> HYPERLINK \l "_Toc22558" </w:instrText>
      </w:r>
      <w:r>
        <w:fldChar w:fldCharType="separate"/>
      </w:r>
      <w:r>
        <w:rPr>
          <w:rFonts w:hint="eastAsia" w:ascii="宋体" w:hAnsi="宋体" w:cs="宋体"/>
          <w:sz w:val="24"/>
        </w:rPr>
        <w:t>第六章　投标文件格式</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_Toc22558 \h </w:instrText>
      </w:r>
      <w:r>
        <w:rPr>
          <w:rFonts w:hint="eastAsia" w:ascii="宋体" w:hAnsi="宋体" w:cs="宋体"/>
          <w:sz w:val="24"/>
        </w:rPr>
        <w:fldChar w:fldCharType="separate"/>
      </w:r>
      <w:r>
        <w:rPr>
          <w:rFonts w:hint="eastAsia" w:ascii="宋体" w:hAnsi="宋体" w:cs="宋体"/>
          <w:sz w:val="24"/>
        </w:rPr>
        <w:t>107</w:t>
      </w:r>
      <w:r>
        <w:rPr>
          <w:rFonts w:hint="eastAsia" w:ascii="宋体" w:hAnsi="宋体" w:cs="宋体"/>
          <w:sz w:val="24"/>
        </w:rPr>
        <w:fldChar w:fldCharType="end"/>
      </w:r>
      <w:r>
        <w:rPr>
          <w:rFonts w:hint="eastAsia" w:ascii="宋体" w:hAnsi="宋体" w:cs="宋体"/>
          <w:sz w:val="24"/>
        </w:rPr>
        <w:fldChar w:fldCharType="end"/>
      </w:r>
    </w:p>
    <w:p w14:paraId="6A472FC7">
      <w:pPr>
        <w:pStyle w:val="21"/>
        <w:tabs>
          <w:tab w:val="right" w:leader="dot" w:pos="9412"/>
        </w:tabs>
        <w:spacing w:line="480" w:lineRule="auto"/>
        <w:ind w:left="0" w:leftChars="0"/>
      </w:pPr>
      <w:r>
        <w:fldChar w:fldCharType="begin"/>
      </w:r>
      <w:r>
        <w:instrText xml:space="preserve"> HYPERLINK \l "_Toc16006" </w:instrText>
      </w:r>
      <w:r>
        <w:fldChar w:fldCharType="separate"/>
      </w:r>
      <w:r>
        <w:rPr>
          <w:rFonts w:hint="eastAsia" w:ascii="宋体" w:hAnsi="宋体" w:cs="宋体"/>
          <w:kern w:val="0"/>
          <w:sz w:val="24"/>
        </w:rPr>
        <w:t>第七章  其他文书、文件格式</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_Toc16006 \h </w:instrText>
      </w:r>
      <w:r>
        <w:rPr>
          <w:rFonts w:hint="eastAsia" w:ascii="宋体" w:hAnsi="宋体" w:cs="宋体"/>
          <w:sz w:val="24"/>
        </w:rPr>
        <w:fldChar w:fldCharType="separate"/>
      </w:r>
      <w:r>
        <w:rPr>
          <w:rFonts w:hint="eastAsia" w:ascii="宋体" w:hAnsi="宋体" w:cs="宋体"/>
          <w:sz w:val="24"/>
        </w:rPr>
        <w:t>130</w:t>
      </w:r>
      <w:r>
        <w:rPr>
          <w:rFonts w:hint="eastAsia" w:ascii="宋体" w:hAnsi="宋体" w:cs="宋体"/>
          <w:sz w:val="24"/>
        </w:rPr>
        <w:fldChar w:fldCharType="end"/>
      </w:r>
      <w:r>
        <w:rPr>
          <w:rFonts w:hint="eastAsia" w:ascii="宋体" w:hAnsi="宋体" w:cs="宋体"/>
          <w:sz w:val="24"/>
        </w:rPr>
        <w:fldChar w:fldCharType="end"/>
      </w:r>
    </w:p>
    <w:p w14:paraId="7E6AE5CA">
      <w:pPr>
        <w:spacing w:beforeLines="50" w:line="480" w:lineRule="exact"/>
        <w:rPr>
          <w:rFonts w:ascii="仿宋_GB2312" w:hAnsi="宋体" w:eastAsia="仿宋_GB2312"/>
          <w:sz w:val="24"/>
        </w:rPr>
      </w:pPr>
      <w:r>
        <w:rPr>
          <w:rFonts w:ascii="仿宋_GB2312" w:hAnsi="宋体" w:eastAsia="仿宋_GB2312"/>
        </w:rPr>
        <w:fldChar w:fldCharType="end"/>
      </w:r>
    </w:p>
    <w:p w14:paraId="7E6FFC0B">
      <w:pPr>
        <w:spacing w:beforeLines="50" w:line="480" w:lineRule="exact"/>
        <w:rPr>
          <w:rFonts w:ascii="仿宋_GB2312" w:hAnsi="宋体" w:eastAsia="仿宋_GB2312"/>
          <w:sz w:val="30"/>
        </w:rPr>
      </w:pPr>
    </w:p>
    <w:p w14:paraId="69D960C2"/>
    <w:p w14:paraId="2B1120BC">
      <w:pPr>
        <w:spacing w:beforeLines="50" w:line="480" w:lineRule="exact"/>
        <w:rPr>
          <w:rFonts w:ascii="仿宋_GB2312" w:hAnsi="宋体" w:eastAsia="仿宋_GB2312"/>
          <w:sz w:val="30"/>
        </w:rPr>
      </w:pPr>
    </w:p>
    <w:p w14:paraId="7349F968">
      <w:pPr>
        <w:spacing w:beforeLines="50" w:line="480" w:lineRule="exact"/>
        <w:rPr>
          <w:rFonts w:ascii="仿宋_GB2312" w:hAnsi="宋体" w:eastAsia="仿宋_GB2312"/>
          <w:sz w:val="30"/>
        </w:rPr>
      </w:pPr>
    </w:p>
    <w:p w14:paraId="75EDC6AA">
      <w:pPr>
        <w:pStyle w:val="10"/>
        <w:rPr>
          <w:rFonts w:ascii="宋体" w:hAnsi="宋体" w:cs="宋体"/>
          <w:b/>
          <w:bCs/>
        </w:rPr>
      </w:pPr>
      <w:bookmarkStart w:id="0" w:name="_Toc254970489"/>
      <w:bookmarkStart w:id="1" w:name="_Toc254970630"/>
    </w:p>
    <w:p w14:paraId="2FBD03DB">
      <w:pPr>
        <w:pStyle w:val="3"/>
        <w:keepNext w:val="0"/>
        <w:keepLines w:val="0"/>
        <w:tabs>
          <w:tab w:val="left" w:pos="0"/>
          <w:tab w:val="left" w:pos="3165"/>
          <w:tab w:val="center" w:pos="4153"/>
        </w:tabs>
        <w:autoSpaceDE w:val="0"/>
        <w:autoSpaceDN w:val="0"/>
        <w:adjustRightInd w:val="0"/>
        <w:spacing w:before="0" w:after="0" w:line="360" w:lineRule="auto"/>
        <w:jc w:val="center"/>
        <w:rPr>
          <w:rFonts w:ascii="Arial" w:hAnsi="Arial" w:eastAsia="黑体"/>
          <w:kern w:val="0"/>
          <w:sz w:val="32"/>
          <w:szCs w:val="32"/>
        </w:rPr>
      </w:pPr>
      <w:r>
        <w:rPr>
          <w:rFonts w:ascii="宋体" w:hAnsi="宋体" w:cs="宋体"/>
          <w:b w:val="0"/>
          <w:bCs w:val="0"/>
        </w:rPr>
        <w:br w:type="page"/>
      </w:r>
      <w:bookmarkStart w:id="2" w:name="_Toc1489"/>
      <w:bookmarkStart w:id="3" w:name="_Toc21367"/>
      <w:r>
        <w:rPr>
          <w:rFonts w:hint="eastAsia" w:ascii="Arial" w:hAnsi="Arial" w:eastAsia="黑体"/>
          <w:kern w:val="0"/>
          <w:sz w:val="32"/>
          <w:szCs w:val="32"/>
        </w:rPr>
        <w:t>第一章</w:t>
      </w:r>
      <w:bookmarkEnd w:id="0"/>
      <w:bookmarkEnd w:id="1"/>
      <w:bookmarkStart w:id="4" w:name="_Toc35393789"/>
      <w:bookmarkStart w:id="5" w:name="_Toc28359001"/>
      <w:r>
        <w:rPr>
          <w:rFonts w:hint="eastAsia" w:ascii="Arial" w:hAnsi="Arial" w:eastAsia="黑体"/>
          <w:kern w:val="0"/>
          <w:sz w:val="32"/>
          <w:szCs w:val="32"/>
        </w:rPr>
        <w:t>招标公告</w:t>
      </w:r>
      <w:bookmarkEnd w:id="2"/>
      <w:bookmarkEnd w:id="3"/>
      <w:bookmarkEnd w:id="4"/>
      <w:bookmarkEnd w:id="5"/>
    </w:p>
    <w:p w14:paraId="1538C34A">
      <w:pPr>
        <w:spacing w:line="360" w:lineRule="auto"/>
        <w:rPr>
          <w:rFonts w:ascii="宋体" w:hAnsi="宋体"/>
          <w:szCs w:val="21"/>
        </w:rPr>
      </w:pPr>
    </w:p>
    <w:p w14:paraId="78557247">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1"/>
        </w:rPr>
      </w:pPr>
      <w:r>
        <w:rPr>
          <w:rFonts w:hint="eastAsia" w:ascii="宋体" w:hAnsi="宋体"/>
          <w:szCs w:val="21"/>
        </w:rPr>
        <w:t>项目概况</w:t>
      </w:r>
    </w:p>
    <w:p w14:paraId="472835A2">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1"/>
        </w:rPr>
      </w:pPr>
      <w:r>
        <w:rPr>
          <w:rFonts w:hint="eastAsia" w:ascii="宋体" w:hAnsi="宋体"/>
          <w:szCs w:val="21"/>
          <w:u w:val="single"/>
        </w:rPr>
        <w:t>实验室仪器设备采购</w:t>
      </w:r>
      <w:r>
        <w:rPr>
          <w:rFonts w:hint="eastAsia" w:ascii="宋体" w:hAnsi="宋体"/>
          <w:szCs w:val="21"/>
        </w:rPr>
        <w:t xml:space="preserve"> 招标项目的潜在投标人应在</w:t>
      </w:r>
      <w:r>
        <w:rPr>
          <w:rFonts w:hint="eastAsia" w:ascii="宋体" w:hAnsi="宋体"/>
          <w:szCs w:val="21"/>
          <w:u w:val="single"/>
        </w:rPr>
        <w:t>广西政府采购云平台（https：//www.gcy.zfcg.gxzf.gov.cn/）</w:t>
      </w:r>
      <w:r>
        <w:rPr>
          <w:rFonts w:hint="eastAsia" w:ascii="宋体" w:hAnsi="宋体"/>
          <w:szCs w:val="21"/>
        </w:rPr>
        <w:t>获取招标文件，并于</w:t>
      </w:r>
      <w:r>
        <w:rPr>
          <w:rFonts w:hint="eastAsia" w:ascii="宋体" w:hAnsi="宋体"/>
          <w:szCs w:val="21"/>
          <w:u w:val="single"/>
        </w:rPr>
        <w:t>2026年</w:t>
      </w:r>
      <w:r>
        <w:rPr>
          <w:rFonts w:hint="eastAsia" w:ascii="宋体" w:hAnsi="宋体"/>
          <w:szCs w:val="21"/>
          <w:u w:val="single"/>
          <w:lang w:val="en-US" w:eastAsia="zh-CN"/>
        </w:rPr>
        <w:t xml:space="preserve">   </w:t>
      </w:r>
      <w:r>
        <w:rPr>
          <w:rFonts w:hint="eastAsia" w:ascii="宋体" w:hAnsi="宋体"/>
          <w:szCs w:val="21"/>
          <w:u w:val="single"/>
        </w:rPr>
        <w:t>月</w:t>
      </w:r>
      <w:r>
        <w:rPr>
          <w:rFonts w:hint="eastAsia" w:ascii="宋体" w:hAnsi="宋体"/>
          <w:szCs w:val="21"/>
          <w:u w:val="single"/>
          <w:lang w:val="en-US" w:eastAsia="zh-CN"/>
        </w:rPr>
        <w:t xml:space="preserve">   </w:t>
      </w:r>
      <w:r>
        <w:rPr>
          <w:rFonts w:hint="eastAsia" w:ascii="宋体" w:hAnsi="宋体"/>
          <w:szCs w:val="21"/>
          <w:u w:val="single"/>
        </w:rPr>
        <w:t xml:space="preserve">日09:30:00 </w:t>
      </w:r>
      <w:r>
        <w:rPr>
          <w:rFonts w:hint="eastAsia" w:ascii="宋体" w:hAnsi="宋体"/>
          <w:bCs/>
          <w:szCs w:val="21"/>
        </w:rPr>
        <w:t>（北京时间）前递交投标</w:t>
      </w:r>
      <w:r>
        <w:rPr>
          <w:rFonts w:ascii="宋体" w:hAnsi="宋体"/>
          <w:bCs/>
          <w:szCs w:val="21"/>
        </w:rPr>
        <w:t>文件</w:t>
      </w:r>
      <w:r>
        <w:rPr>
          <w:rFonts w:hint="eastAsia" w:ascii="宋体" w:hAnsi="宋体"/>
          <w:szCs w:val="21"/>
        </w:rPr>
        <w:t>。</w:t>
      </w:r>
    </w:p>
    <w:p w14:paraId="563C107B">
      <w:pPr>
        <w:spacing w:line="360" w:lineRule="auto"/>
        <w:rPr>
          <w:rFonts w:ascii="宋体" w:hAnsi="宋体"/>
          <w:szCs w:val="21"/>
        </w:rPr>
      </w:pPr>
    </w:p>
    <w:p w14:paraId="01A4CF6F">
      <w:pPr>
        <w:spacing w:line="360" w:lineRule="auto"/>
        <w:rPr>
          <w:rFonts w:ascii="黑体" w:hAnsi="黑体" w:eastAsia="黑体"/>
          <w:b/>
          <w:bCs/>
          <w:sz w:val="24"/>
        </w:rPr>
      </w:pPr>
      <w:bookmarkStart w:id="6" w:name="_Toc35393790"/>
      <w:bookmarkStart w:id="7" w:name="_Toc35393621"/>
      <w:bookmarkStart w:id="8" w:name="_Toc28359002"/>
      <w:bookmarkStart w:id="9" w:name="_Toc28359079"/>
      <w:bookmarkStart w:id="10" w:name="_Hlk24379207"/>
      <w:r>
        <w:rPr>
          <w:rFonts w:hint="eastAsia" w:ascii="黑体" w:hAnsi="黑体" w:eastAsia="黑体"/>
          <w:b/>
          <w:bCs/>
          <w:sz w:val="24"/>
        </w:rPr>
        <w:t>一、项目基本情况</w:t>
      </w:r>
      <w:bookmarkEnd w:id="6"/>
      <w:bookmarkEnd w:id="7"/>
      <w:bookmarkEnd w:id="8"/>
      <w:bookmarkEnd w:id="9"/>
    </w:p>
    <w:p w14:paraId="70A36BC4">
      <w:pPr>
        <w:spacing w:line="360" w:lineRule="auto"/>
        <w:ind w:firstLine="420" w:firstLineChars="200"/>
        <w:rPr>
          <w:rFonts w:hint="eastAsia" w:ascii="宋体" w:hAnsi="宋体" w:eastAsia="宋体"/>
          <w:szCs w:val="21"/>
          <w:lang w:eastAsia="zh-CN"/>
        </w:rPr>
      </w:pPr>
      <w:r>
        <w:rPr>
          <w:rFonts w:hint="eastAsia" w:ascii="宋体" w:hAnsi="宋体"/>
          <w:szCs w:val="21"/>
        </w:rPr>
        <w:t>项目编号：</w:t>
      </w:r>
      <w:r>
        <w:rPr>
          <w:rFonts w:hint="eastAsia" w:ascii="宋体" w:hAnsi="宋体"/>
          <w:szCs w:val="21"/>
          <w:lang w:eastAsia="zh-CN"/>
        </w:rPr>
        <w:t>GXZC2026-G1-003147-JYZX</w:t>
      </w:r>
    </w:p>
    <w:p w14:paraId="67B60C9D">
      <w:pPr>
        <w:spacing w:line="360" w:lineRule="auto"/>
        <w:ind w:firstLine="420" w:firstLineChars="200"/>
        <w:rPr>
          <w:rFonts w:ascii="宋体" w:hAnsi="宋体"/>
          <w:szCs w:val="21"/>
        </w:rPr>
      </w:pPr>
      <w:r>
        <w:rPr>
          <w:rFonts w:hint="eastAsia" w:ascii="宋体" w:hAnsi="宋体"/>
          <w:szCs w:val="21"/>
        </w:rPr>
        <w:t>项目名称：实验室仪器设备采购</w:t>
      </w:r>
    </w:p>
    <w:bookmarkEnd w:id="10"/>
    <w:p w14:paraId="53B8BED7">
      <w:pPr>
        <w:spacing w:line="360" w:lineRule="auto"/>
        <w:ind w:firstLine="420" w:firstLineChars="200"/>
        <w:rPr>
          <w:rFonts w:ascii="宋体" w:hAnsi="宋体"/>
          <w:szCs w:val="21"/>
        </w:rPr>
      </w:pPr>
      <w:r>
        <w:rPr>
          <w:rFonts w:hint="eastAsia" w:ascii="宋体" w:hAnsi="宋体"/>
          <w:szCs w:val="21"/>
        </w:rPr>
        <w:t>预算总金额（元）：3,995,900.00</w:t>
      </w:r>
    </w:p>
    <w:p w14:paraId="5380E069">
      <w:pPr>
        <w:spacing w:line="360" w:lineRule="auto"/>
        <w:ind w:firstLine="420" w:firstLineChars="200"/>
        <w:rPr>
          <w:rFonts w:ascii="宋体" w:hAnsi="宋体"/>
          <w:szCs w:val="21"/>
        </w:rPr>
      </w:pPr>
      <w:r>
        <w:rPr>
          <w:rFonts w:hint="eastAsia" w:ascii="宋体" w:hAnsi="宋体"/>
          <w:szCs w:val="21"/>
        </w:rPr>
        <w:t>采购需求：</w:t>
      </w:r>
    </w:p>
    <w:p w14:paraId="21D8812C">
      <w:pPr>
        <w:pStyle w:val="22"/>
        <w:spacing w:before="0" w:beforeAutospacing="0" w:after="0" w:afterAutospacing="0" w:line="360" w:lineRule="auto"/>
        <w:ind w:firstLine="422" w:firstLineChars="200"/>
        <w:rPr>
          <w:b/>
          <w:bCs/>
          <w:kern w:val="2"/>
          <w:sz w:val="21"/>
          <w:szCs w:val="21"/>
        </w:rPr>
      </w:pPr>
      <w:r>
        <w:rPr>
          <w:rFonts w:hint="eastAsia"/>
          <w:b/>
          <w:bCs/>
          <w:kern w:val="2"/>
          <w:sz w:val="21"/>
          <w:szCs w:val="21"/>
        </w:rPr>
        <w:t>标项一</w:t>
      </w:r>
    </w:p>
    <w:p w14:paraId="4450265C">
      <w:pPr>
        <w:pStyle w:val="22"/>
        <w:spacing w:before="0" w:beforeAutospacing="0" w:after="0" w:afterAutospacing="0" w:line="360" w:lineRule="auto"/>
        <w:ind w:firstLine="422" w:firstLineChars="200"/>
        <w:rPr>
          <w:kern w:val="2"/>
          <w:sz w:val="21"/>
          <w:szCs w:val="21"/>
        </w:rPr>
      </w:pPr>
      <w:r>
        <w:rPr>
          <w:rFonts w:hint="eastAsia"/>
          <w:b/>
          <w:bCs/>
          <w:kern w:val="2"/>
          <w:sz w:val="21"/>
          <w:szCs w:val="21"/>
        </w:rPr>
        <w:t>标项名称：实验室废弃物暂存柜采购</w:t>
      </w:r>
    </w:p>
    <w:p w14:paraId="7D160140">
      <w:pPr>
        <w:pStyle w:val="22"/>
        <w:spacing w:before="0" w:beforeAutospacing="0" w:after="0" w:afterAutospacing="0" w:line="360" w:lineRule="auto"/>
        <w:ind w:firstLine="420" w:firstLineChars="200"/>
        <w:rPr>
          <w:kern w:val="2"/>
          <w:sz w:val="21"/>
          <w:szCs w:val="21"/>
        </w:rPr>
      </w:pPr>
      <w:r>
        <w:rPr>
          <w:rFonts w:hint="eastAsia"/>
          <w:kern w:val="2"/>
          <w:sz w:val="21"/>
          <w:szCs w:val="21"/>
        </w:rPr>
        <w:t>数量：1</w:t>
      </w:r>
    </w:p>
    <w:p w14:paraId="23627DDF">
      <w:pPr>
        <w:pStyle w:val="22"/>
        <w:spacing w:before="0" w:beforeAutospacing="0" w:after="0" w:afterAutospacing="0" w:line="360" w:lineRule="auto"/>
        <w:ind w:firstLine="420" w:firstLineChars="200"/>
        <w:rPr>
          <w:kern w:val="2"/>
          <w:sz w:val="21"/>
          <w:szCs w:val="21"/>
        </w:rPr>
      </w:pPr>
      <w:r>
        <w:rPr>
          <w:rFonts w:hint="eastAsia"/>
          <w:kern w:val="2"/>
          <w:sz w:val="21"/>
          <w:szCs w:val="21"/>
        </w:rPr>
        <w:t>预算金额（元）：1,100,000.00</w:t>
      </w:r>
    </w:p>
    <w:p w14:paraId="5963BEEB">
      <w:pPr>
        <w:pStyle w:val="22"/>
        <w:spacing w:before="0" w:beforeAutospacing="0" w:after="0" w:afterAutospacing="0" w:line="360" w:lineRule="auto"/>
        <w:ind w:firstLine="420" w:firstLineChars="200"/>
        <w:rPr>
          <w:kern w:val="2"/>
          <w:sz w:val="21"/>
          <w:szCs w:val="21"/>
        </w:rPr>
      </w:pPr>
      <w:r>
        <w:rPr>
          <w:rFonts w:hint="eastAsia"/>
          <w:kern w:val="2"/>
          <w:sz w:val="21"/>
          <w:szCs w:val="21"/>
        </w:rPr>
        <w:t>简要规格描述或项目基本概况介绍、用途：实验室废弃物暂存柜采购1套，如需进一步了解详细内容，详见招标文件。</w:t>
      </w:r>
    </w:p>
    <w:p w14:paraId="5348736E">
      <w:pPr>
        <w:pStyle w:val="22"/>
        <w:spacing w:before="0" w:beforeAutospacing="0" w:after="0" w:afterAutospacing="0" w:line="360" w:lineRule="auto"/>
        <w:ind w:firstLine="420" w:firstLineChars="200"/>
        <w:rPr>
          <w:kern w:val="2"/>
          <w:sz w:val="21"/>
          <w:szCs w:val="21"/>
        </w:rPr>
      </w:pPr>
      <w:r>
        <w:rPr>
          <w:rFonts w:hint="eastAsia"/>
          <w:kern w:val="2"/>
          <w:sz w:val="21"/>
          <w:szCs w:val="21"/>
        </w:rPr>
        <w:t>最高限价（如有）：1,100,000.00</w:t>
      </w:r>
    </w:p>
    <w:p w14:paraId="5BB0109B">
      <w:pPr>
        <w:pStyle w:val="22"/>
        <w:spacing w:before="0" w:beforeAutospacing="0" w:after="0" w:afterAutospacing="0" w:line="360" w:lineRule="auto"/>
        <w:ind w:firstLine="420" w:firstLineChars="200"/>
        <w:rPr>
          <w:kern w:val="2"/>
          <w:sz w:val="21"/>
          <w:szCs w:val="21"/>
        </w:rPr>
      </w:pPr>
      <w:r>
        <w:rPr>
          <w:rFonts w:hint="eastAsia"/>
          <w:kern w:val="2"/>
          <w:sz w:val="21"/>
          <w:szCs w:val="21"/>
        </w:rPr>
        <w:t>合同履约期限：具体详见招标文件。</w:t>
      </w:r>
    </w:p>
    <w:p w14:paraId="67AC10E8">
      <w:pPr>
        <w:pStyle w:val="22"/>
        <w:spacing w:before="0" w:beforeAutospacing="0" w:after="0" w:afterAutospacing="0" w:line="360" w:lineRule="auto"/>
        <w:ind w:firstLine="420" w:firstLineChars="200"/>
        <w:rPr>
          <w:kern w:val="2"/>
          <w:sz w:val="21"/>
          <w:szCs w:val="21"/>
        </w:rPr>
      </w:pPr>
      <w:r>
        <w:rPr>
          <w:rFonts w:hint="eastAsia"/>
          <w:kern w:val="2"/>
          <w:sz w:val="21"/>
          <w:szCs w:val="21"/>
        </w:rPr>
        <w:t>本标项（否）接受联合体投标</w:t>
      </w:r>
    </w:p>
    <w:p w14:paraId="1AA831F5">
      <w:pPr>
        <w:spacing w:line="360" w:lineRule="auto"/>
        <w:ind w:firstLine="420" w:firstLineChars="200"/>
        <w:rPr>
          <w:rFonts w:ascii="宋体" w:hAnsi="宋体"/>
          <w:szCs w:val="21"/>
        </w:rPr>
      </w:pPr>
      <w:r>
        <w:rPr>
          <w:rFonts w:hint="eastAsia" w:ascii="宋体" w:hAnsi="宋体"/>
          <w:szCs w:val="21"/>
        </w:rPr>
        <w:t>备注：/</w:t>
      </w:r>
    </w:p>
    <w:p w14:paraId="7262433E">
      <w:pPr>
        <w:pStyle w:val="22"/>
        <w:spacing w:before="0" w:beforeAutospacing="0" w:after="0" w:afterAutospacing="0" w:line="360" w:lineRule="auto"/>
        <w:ind w:firstLine="422" w:firstLineChars="200"/>
        <w:rPr>
          <w:b/>
          <w:bCs/>
          <w:kern w:val="2"/>
          <w:sz w:val="21"/>
          <w:szCs w:val="21"/>
        </w:rPr>
      </w:pPr>
      <w:r>
        <w:rPr>
          <w:rFonts w:hint="eastAsia"/>
          <w:b/>
          <w:bCs/>
          <w:kern w:val="2"/>
          <w:sz w:val="21"/>
          <w:szCs w:val="21"/>
        </w:rPr>
        <w:t>标项二</w:t>
      </w:r>
    </w:p>
    <w:p w14:paraId="209F1E70">
      <w:pPr>
        <w:pStyle w:val="22"/>
        <w:spacing w:before="0" w:beforeAutospacing="0" w:after="0" w:afterAutospacing="0" w:line="360" w:lineRule="auto"/>
        <w:ind w:firstLine="422" w:firstLineChars="200"/>
        <w:rPr>
          <w:kern w:val="2"/>
          <w:sz w:val="21"/>
          <w:szCs w:val="21"/>
        </w:rPr>
      </w:pPr>
      <w:r>
        <w:rPr>
          <w:rFonts w:hint="eastAsia"/>
          <w:b/>
          <w:bCs/>
          <w:kern w:val="2"/>
          <w:sz w:val="21"/>
          <w:szCs w:val="21"/>
        </w:rPr>
        <w:t>标项名称：化学实验教学中心本科教学设备采购</w:t>
      </w:r>
    </w:p>
    <w:p w14:paraId="51694059">
      <w:pPr>
        <w:pStyle w:val="22"/>
        <w:spacing w:before="0" w:beforeAutospacing="0" w:after="0" w:afterAutospacing="0" w:line="360" w:lineRule="auto"/>
        <w:ind w:firstLine="420" w:firstLineChars="200"/>
        <w:rPr>
          <w:kern w:val="2"/>
          <w:sz w:val="21"/>
          <w:szCs w:val="21"/>
        </w:rPr>
      </w:pPr>
      <w:r>
        <w:rPr>
          <w:rFonts w:hint="eastAsia"/>
          <w:kern w:val="2"/>
          <w:sz w:val="21"/>
          <w:szCs w:val="21"/>
        </w:rPr>
        <w:t>数量：1</w:t>
      </w:r>
    </w:p>
    <w:p w14:paraId="43AFE497">
      <w:pPr>
        <w:pStyle w:val="22"/>
        <w:spacing w:before="0" w:beforeAutospacing="0" w:after="0" w:afterAutospacing="0" w:line="360" w:lineRule="auto"/>
        <w:ind w:firstLine="420" w:firstLineChars="200"/>
        <w:rPr>
          <w:kern w:val="2"/>
          <w:sz w:val="21"/>
          <w:szCs w:val="21"/>
        </w:rPr>
      </w:pPr>
      <w:r>
        <w:rPr>
          <w:rFonts w:hint="eastAsia"/>
          <w:kern w:val="2"/>
          <w:sz w:val="21"/>
          <w:szCs w:val="21"/>
        </w:rPr>
        <w:t>预算金额（元）：1,328,600.00</w:t>
      </w:r>
    </w:p>
    <w:p w14:paraId="5A03B8B9">
      <w:pPr>
        <w:pStyle w:val="22"/>
        <w:spacing w:before="0" w:beforeAutospacing="0" w:after="0" w:afterAutospacing="0" w:line="360" w:lineRule="auto"/>
        <w:ind w:firstLine="420" w:firstLineChars="200"/>
        <w:rPr>
          <w:kern w:val="2"/>
          <w:sz w:val="21"/>
          <w:szCs w:val="21"/>
        </w:rPr>
      </w:pPr>
      <w:r>
        <w:rPr>
          <w:rFonts w:hint="eastAsia"/>
          <w:kern w:val="2"/>
          <w:sz w:val="21"/>
          <w:szCs w:val="21"/>
        </w:rPr>
        <w:t>简要规格描述或项目基本概况介绍、用途：化学实验教学中心本科教学设备采购1批。如需进一步了解详细内容，详见招标文件。</w:t>
      </w:r>
    </w:p>
    <w:p w14:paraId="73BFD3C6">
      <w:pPr>
        <w:pStyle w:val="22"/>
        <w:spacing w:before="0" w:beforeAutospacing="0" w:after="0" w:afterAutospacing="0" w:line="360" w:lineRule="auto"/>
        <w:ind w:firstLine="420" w:firstLineChars="200"/>
        <w:rPr>
          <w:kern w:val="2"/>
          <w:sz w:val="21"/>
          <w:szCs w:val="21"/>
        </w:rPr>
      </w:pPr>
      <w:r>
        <w:rPr>
          <w:rFonts w:hint="eastAsia"/>
          <w:kern w:val="2"/>
          <w:sz w:val="21"/>
          <w:szCs w:val="21"/>
        </w:rPr>
        <w:t>最高限价（如有）：1,328,600.00</w:t>
      </w:r>
    </w:p>
    <w:p w14:paraId="27784C59">
      <w:pPr>
        <w:pStyle w:val="22"/>
        <w:spacing w:before="0" w:beforeAutospacing="0" w:after="0" w:afterAutospacing="0" w:line="360" w:lineRule="auto"/>
        <w:ind w:firstLine="420" w:firstLineChars="200"/>
        <w:rPr>
          <w:kern w:val="2"/>
          <w:sz w:val="21"/>
          <w:szCs w:val="21"/>
        </w:rPr>
      </w:pPr>
      <w:r>
        <w:rPr>
          <w:rFonts w:hint="eastAsia"/>
          <w:kern w:val="2"/>
          <w:sz w:val="21"/>
          <w:szCs w:val="21"/>
        </w:rPr>
        <w:t>合同履约期限：具体详见招标文件。</w:t>
      </w:r>
    </w:p>
    <w:p w14:paraId="632D37C5">
      <w:pPr>
        <w:pStyle w:val="22"/>
        <w:spacing w:before="0" w:beforeAutospacing="0" w:after="0" w:afterAutospacing="0" w:line="360" w:lineRule="auto"/>
        <w:ind w:firstLine="420" w:firstLineChars="200"/>
        <w:rPr>
          <w:kern w:val="2"/>
          <w:sz w:val="21"/>
          <w:szCs w:val="21"/>
        </w:rPr>
      </w:pPr>
      <w:r>
        <w:rPr>
          <w:rFonts w:hint="eastAsia"/>
          <w:kern w:val="2"/>
          <w:sz w:val="21"/>
          <w:szCs w:val="21"/>
        </w:rPr>
        <w:t>本标项（否）接受联合体投标</w:t>
      </w:r>
    </w:p>
    <w:p w14:paraId="4C72F97A">
      <w:pPr>
        <w:spacing w:line="360" w:lineRule="auto"/>
        <w:ind w:firstLine="420" w:firstLineChars="200"/>
        <w:rPr>
          <w:rFonts w:ascii="宋体" w:hAnsi="宋体"/>
          <w:szCs w:val="21"/>
        </w:rPr>
      </w:pPr>
      <w:r>
        <w:rPr>
          <w:rFonts w:hint="eastAsia" w:ascii="宋体" w:hAnsi="宋体"/>
          <w:szCs w:val="21"/>
        </w:rPr>
        <w:t>备注：/</w:t>
      </w:r>
    </w:p>
    <w:p w14:paraId="4E658F3B">
      <w:pPr>
        <w:pStyle w:val="22"/>
        <w:spacing w:before="0" w:beforeAutospacing="0" w:after="0" w:afterAutospacing="0" w:line="360" w:lineRule="auto"/>
        <w:ind w:firstLine="422" w:firstLineChars="200"/>
        <w:rPr>
          <w:b/>
          <w:bCs/>
          <w:kern w:val="2"/>
          <w:sz w:val="21"/>
          <w:szCs w:val="21"/>
        </w:rPr>
      </w:pPr>
      <w:r>
        <w:rPr>
          <w:rFonts w:hint="eastAsia"/>
          <w:b/>
          <w:bCs/>
          <w:kern w:val="2"/>
          <w:sz w:val="21"/>
          <w:szCs w:val="21"/>
        </w:rPr>
        <w:t>标项三</w:t>
      </w:r>
    </w:p>
    <w:p w14:paraId="403486C2">
      <w:pPr>
        <w:pStyle w:val="22"/>
        <w:spacing w:before="0" w:beforeAutospacing="0" w:after="0" w:afterAutospacing="0" w:line="360" w:lineRule="auto"/>
        <w:ind w:firstLine="422" w:firstLineChars="200"/>
        <w:rPr>
          <w:kern w:val="2"/>
          <w:sz w:val="21"/>
          <w:szCs w:val="21"/>
        </w:rPr>
      </w:pPr>
      <w:r>
        <w:rPr>
          <w:rFonts w:hint="eastAsia"/>
          <w:b/>
          <w:bCs/>
          <w:kern w:val="2"/>
          <w:sz w:val="21"/>
          <w:szCs w:val="21"/>
        </w:rPr>
        <w:t>标项名称：物理实验教学实验室设备购置</w:t>
      </w:r>
    </w:p>
    <w:p w14:paraId="709EA53C">
      <w:pPr>
        <w:pStyle w:val="22"/>
        <w:spacing w:before="0" w:beforeAutospacing="0" w:after="0" w:afterAutospacing="0" w:line="360" w:lineRule="auto"/>
        <w:ind w:firstLine="420" w:firstLineChars="200"/>
        <w:rPr>
          <w:kern w:val="2"/>
          <w:sz w:val="21"/>
          <w:szCs w:val="21"/>
        </w:rPr>
      </w:pPr>
      <w:r>
        <w:rPr>
          <w:rFonts w:hint="eastAsia"/>
          <w:kern w:val="2"/>
          <w:sz w:val="21"/>
          <w:szCs w:val="21"/>
        </w:rPr>
        <w:t>数量：1</w:t>
      </w:r>
    </w:p>
    <w:p w14:paraId="7D1FD38B">
      <w:pPr>
        <w:pStyle w:val="22"/>
        <w:spacing w:before="0" w:beforeAutospacing="0" w:after="0" w:afterAutospacing="0" w:line="360" w:lineRule="auto"/>
        <w:ind w:firstLine="420" w:firstLineChars="200"/>
        <w:rPr>
          <w:kern w:val="2"/>
          <w:sz w:val="21"/>
          <w:szCs w:val="21"/>
        </w:rPr>
      </w:pPr>
      <w:r>
        <w:rPr>
          <w:rFonts w:hint="eastAsia"/>
          <w:kern w:val="2"/>
          <w:sz w:val="21"/>
          <w:szCs w:val="21"/>
        </w:rPr>
        <w:t>预算金额（元）：1,567,300.00</w:t>
      </w:r>
    </w:p>
    <w:p w14:paraId="58FAF28E">
      <w:pPr>
        <w:pStyle w:val="22"/>
        <w:spacing w:before="0" w:beforeAutospacing="0" w:after="0" w:afterAutospacing="0" w:line="360" w:lineRule="auto"/>
        <w:ind w:firstLine="420" w:firstLineChars="200"/>
        <w:rPr>
          <w:kern w:val="2"/>
          <w:sz w:val="21"/>
          <w:szCs w:val="21"/>
        </w:rPr>
      </w:pPr>
      <w:r>
        <w:rPr>
          <w:rFonts w:hint="eastAsia"/>
          <w:kern w:val="2"/>
          <w:sz w:val="21"/>
          <w:szCs w:val="21"/>
        </w:rPr>
        <w:t>简要规格描述或项目基本概况介绍、用途：物理实验教学实验室设备购置1批。如需进一步了解详细内容，详见招标文件。</w:t>
      </w:r>
    </w:p>
    <w:p w14:paraId="07750448">
      <w:pPr>
        <w:pStyle w:val="22"/>
        <w:spacing w:before="0" w:beforeAutospacing="0" w:after="0" w:afterAutospacing="0" w:line="360" w:lineRule="auto"/>
        <w:ind w:firstLine="420" w:firstLineChars="200"/>
        <w:rPr>
          <w:kern w:val="2"/>
          <w:sz w:val="21"/>
          <w:szCs w:val="21"/>
        </w:rPr>
      </w:pPr>
      <w:r>
        <w:rPr>
          <w:rFonts w:hint="eastAsia"/>
          <w:kern w:val="2"/>
          <w:sz w:val="21"/>
          <w:szCs w:val="21"/>
        </w:rPr>
        <w:t>最高限价（如有）：1,567,300.00</w:t>
      </w:r>
    </w:p>
    <w:p w14:paraId="1C76506A">
      <w:pPr>
        <w:pStyle w:val="22"/>
        <w:spacing w:before="0" w:beforeAutospacing="0" w:after="0" w:afterAutospacing="0" w:line="360" w:lineRule="auto"/>
        <w:ind w:firstLine="420" w:firstLineChars="200"/>
        <w:rPr>
          <w:kern w:val="2"/>
          <w:sz w:val="21"/>
          <w:szCs w:val="21"/>
        </w:rPr>
      </w:pPr>
      <w:r>
        <w:rPr>
          <w:rFonts w:hint="eastAsia"/>
          <w:kern w:val="2"/>
          <w:sz w:val="21"/>
          <w:szCs w:val="21"/>
        </w:rPr>
        <w:t>合同履约期限：具体详见招标文件。</w:t>
      </w:r>
    </w:p>
    <w:p w14:paraId="10B16820">
      <w:pPr>
        <w:pStyle w:val="22"/>
        <w:spacing w:before="0" w:beforeAutospacing="0" w:after="0" w:afterAutospacing="0" w:line="360" w:lineRule="auto"/>
        <w:ind w:firstLine="420" w:firstLineChars="200"/>
        <w:rPr>
          <w:kern w:val="2"/>
          <w:sz w:val="21"/>
          <w:szCs w:val="21"/>
        </w:rPr>
      </w:pPr>
      <w:r>
        <w:rPr>
          <w:rFonts w:hint="eastAsia"/>
          <w:kern w:val="2"/>
          <w:sz w:val="21"/>
          <w:szCs w:val="21"/>
        </w:rPr>
        <w:t>本标项（否）接受联合体投标</w:t>
      </w:r>
    </w:p>
    <w:p w14:paraId="2953DDD9">
      <w:pPr>
        <w:spacing w:line="360" w:lineRule="auto"/>
        <w:ind w:firstLine="420" w:firstLineChars="200"/>
        <w:rPr>
          <w:rFonts w:ascii="宋体" w:hAnsi="宋体"/>
          <w:szCs w:val="21"/>
        </w:rPr>
      </w:pPr>
      <w:r>
        <w:rPr>
          <w:rFonts w:hint="eastAsia" w:ascii="宋体" w:hAnsi="宋体"/>
          <w:szCs w:val="21"/>
        </w:rPr>
        <w:t>备注：/</w:t>
      </w:r>
    </w:p>
    <w:p w14:paraId="23A42BDE">
      <w:pPr>
        <w:spacing w:line="360" w:lineRule="auto"/>
        <w:rPr>
          <w:rFonts w:ascii="黑体" w:hAnsi="黑体" w:eastAsia="黑体"/>
          <w:b/>
          <w:bCs/>
          <w:sz w:val="24"/>
        </w:rPr>
      </w:pPr>
      <w:bookmarkStart w:id="11" w:name="_Toc35393622"/>
      <w:bookmarkStart w:id="12" w:name="_Toc35393791"/>
      <w:bookmarkStart w:id="13" w:name="_Toc28359080"/>
      <w:bookmarkStart w:id="14" w:name="_Toc28359003"/>
      <w:r>
        <w:rPr>
          <w:rFonts w:hint="eastAsia" w:ascii="黑体" w:hAnsi="黑体" w:eastAsia="黑体"/>
          <w:b/>
          <w:bCs/>
          <w:sz w:val="24"/>
        </w:rPr>
        <w:t>二、申请人的资格要求：</w:t>
      </w:r>
      <w:bookmarkEnd w:id="11"/>
      <w:bookmarkEnd w:id="12"/>
      <w:bookmarkEnd w:id="13"/>
      <w:bookmarkEnd w:id="14"/>
    </w:p>
    <w:p w14:paraId="643A3400">
      <w:pPr>
        <w:spacing w:line="360" w:lineRule="auto"/>
        <w:ind w:firstLine="420" w:firstLineChars="200"/>
        <w:rPr>
          <w:rFonts w:ascii="宋体" w:hAnsi="宋体"/>
          <w:szCs w:val="21"/>
        </w:rPr>
      </w:pPr>
      <w:bookmarkStart w:id="15" w:name="_Hlk51746371"/>
      <w:r>
        <w:rPr>
          <w:rFonts w:hint="eastAsia" w:ascii="宋体" w:hAnsi="宋体"/>
          <w:szCs w:val="21"/>
        </w:rPr>
        <w:t>1.满足《中华人民共和国政府采购法》第二十二条规定；</w:t>
      </w:r>
    </w:p>
    <w:p w14:paraId="00166461">
      <w:pPr>
        <w:spacing w:line="360" w:lineRule="auto"/>
        <w:ind w:firstLine="420" w:firstLineChars="200"/>
        <w:rPr>
          <w:rFonts w:ascii="宋体" w:hAnsi="宋体"/>
          <w:szCs w:val="21"/>
        </w:rPr>
      </w:pPr>
      <w:bookmarkStart w:id="16" w:name="_Toc28359081"/>
      <w:bookmarkStart w:id="17" w:name="_Toc28359004"/>
      <w:r>
        <w:rPr>
          <w:rFonts w:ascii="宋体" w:hAnsi="宋体"/>
          <w:szCs w:val="21"/>
        </w:rPr>
        <w:t>2</w:t>
      </w:r>
      <w:r>
        <w:rPr>
          <w:rFonts w:hint="eastAsia" w:ascii="宋体" w:hAnsi="宋体"/>
          <w:szCs w:val="21"/>
        </w:rPr>
        <w:t>.落实政府采购政策需满足的资格要求：分标1、分标3：非专门面向中小企业采购的项目；分标2：为专门面向中小企业采购项目（所有的货物制造商须为中型或小型或微型企业或监狱企业或残疾人福利性单位）。</w:t>
      </w:r>
    </w:p>
    <w:p w14:paraId="2DB9C4BA">
      <w:pPr>
        <w:spacing w:line="360" w:lineRule="auto"/>
        <w:ind w:firstLine="420" w:firstLineChars="200"/>
        <w:rPr>
          <w:rFonts w:ascii="宋体" w:hAnsi="宋体"/>
          <w:szCs w:val="21"/>
        </w:rPr>
      </w:pPr>
      <w:r>
        <w:rPr>
          <w:rFonts w:hint="eastAsia" w:ascii="宋体" w:hAnsi="宋体"/>
          <w:szCs w:val="21"/>
        </w:rPr>
        <w:t>3.本项目的特定资格要求：无。</w:t>
      </w:r>
    </w:p>
    <w:bookmarkEnd w:id="15"/>
    <w:p w14:paraId="144692EB">
      <w:pPr>
        <w:spacing w:line="360" w:lineRule="auto"/>
        <w:rPr>
          <w:rFonts w:ascii="黑体" w:hAnsi="黑体" w:eastAsia="黑体"/>
          <w:b/>
          <w:bCs/>
          <w:sz w:val="24"/>
        </w:rPr>
      </w:pPr>
      <w:bookmarkStart w:id="18" w:name="_Toc35393792"/>
      <w:bookmarkStart w:id="19" w:name="_Toc35393623"/>
      <w:r>
        <w:rPr>
          <w:rFonts w:hint="eastAsia" w:ascii="黑体" w:hAnsi="黑体" w:eastAsia="黑体"/>
          <w:b/>
          <w:bCs/>
          <w:sz w:val="24"/>
        </w:rPr>
        <w:t>三、获取招标文件</w:t>
      </w:r>
      <w:bookmarkEnd w:id="16"/>
      <w:bookmarkEnd w:id="17"/>
      <w:bookmarkEnd w:id="18"/>
      <w:bookmarkEnd w:id="19"/>
    </w:p>
    <w:p w14:paraId="21637BB4">
      <w:pPr>
        <w:spacing w:line="360" w:lineRule="auto"/>
        <w:ind w:firstLine="540"/>
        <w:rPr>
          <w:rFonts w:ascii="宋体" w:hAnsi="宋体" w:cs="宋体"/>
          <w:bCs/>
          <w:kern w:val="0"/>
          <w:szCs w:val="21"/>
        </w:rPr>
      </w:pPr>
      <w:r>
        <w:rPr>
          <w:rFonts w:hint="eastAsia" w:ascii="宋体" w:hAnsi="宋体" w:cs="宋体"/>
          <w:bCs/>
          <w:kern w:val="0"/>
          <w:szCs w:val="21"/>
        </w:rPr>
        <w:t>时间：2026年</w:t>
      </w:r>
      <w:r>
        <w:rPr>
          <w:rFonts w:hint="eastAsia" w:ascii="宋体" w:hAnsi="宋体" w:cs="宋体"/>
          <w:bCs/>
          <w:kern w:val="0"/>
          <w:szCs w:val="21"/>
          <w:lang w:val="en-US" w:eastAsia="zh-CN"/>
        </w:rPr>
        <w:t xml:space="preserve">   </w:t>
      </w:r>
      <w:r>
        <w:rPr>
          <w:rFonts w:hint="eastAsia" w:ascii="宋体" w:hAnsi="宋体" w:cs="宋体"/>
          <w:bCs/>
          <w:kern w:val="0"/>
          <w:szCs w:val="21"/>
        </w:rPr>
        <w:t>月</w:t>
      </w:r>
      <w:r>
        <w:rPr>
          <w:rFonts w:hint="eastAsia" w:ascii="宋体" w:hAnsi="宋体" w:cs="宋体"/>
          <w:bCs/>
          <w:kern w:val="0"/>
          <w:szCs w:val="21"/>
          <w:lang w:val="en-US" w:eastAsia="zh-CN"/>
        </w:rPr>
        <w:t xml:space="preserve">   </w:t>
      </w:r>
      <w:r>
        <w:rPr>
          <w:rFonts w:hint="eastAsia" w:ascii="宋体" w:hAnsi="宋体" w:cs="宋体"/>
          <w:bCs/>
          <w:kern w:val="0"/>
          <w:szCs w:val="21"/>
        </w:rPr>
        <w:t>日至2026年</w:t>
      </w:r>
      <w:r>
        <w:rPr>
          <w:rFonts w:hint="eastAsia" w:ascii="宋体" w:hAnsi="宋体" w:cs="宋体"/>
          <w:bCs/>
          <w:kern w:val="0"/>
          <w:szCs w:val="21"/>
          <w:lang w:val="en-US" w:eastAsia="zh-CN"/>
        </w:rPr>
        <w:t xml:space="preserve">   </w:t>
      </w:r>
      <w:r>
        <w:rPr>
          <w:rFonts w:hint="eastAsia" w:ascii="宋体" w:hAnsi="宋体" w:cs="宋体"/>
          <w:bCs/>
          <w:kern w:val="0"/>
          <w:szCs w:val="21"/>
        </w:rPr>
        <w:t>月</w:t>
      </w:r>
      <w:r>
        <w:rPr>
          <w:rFonts w:hint="eastAsia" w:ascii="宋体" w:hAnsi="宋体" w:cs="宋体"/>
          <w:bCs/>
          <w:kern w:val="0"/>
          <w:szCs w:val="21"/>
          <w:lang w:val="en-US" w:eastAsia="zh-CN"/>
        </w:rPr>
        <w:t xml:space="preserve">   </w:t>
      </w:r>
      <w:r>
        <w:rPr>
          <w:rFonts w:hint="eastAsia" w:ascii="宋体" w:hAnsi="宋体" w:cs="宋体"/>
          <w:bCs/>
          <w:kern w:val="0"/>
          <w:szCs w:val="21"/>
        </w:rPr>
        <w:t>日，每天上午00:00至12:00 ，下午12:00至23:59（北京时间，法定节假日除外）</w:t>
      </w:r>
    </w:p>
    <w:p w14:paraId="16ED714D">
      <w:pPr>
        <w:spacing w:line="360" w:lineRule="auto"/>
        <w:ind w:firstLine="540"/>
        <w:rPr>
          <w:rFonts w:ascii="宋体" w:hAnsi="宋体" w:cs="宋体"/>
          <w:bCs/>
          <w:kern w:val="0"/>
          <w:szCs w:val="21"/>
        </w:rPr>
      </w:pPr>
      <w:r>
        <w:rPr>
          <w:rFonts w:hint="eastAsia" w:ascii="宋体" w:hAnsi="宋体" w:cs="宋体"/>
          <w:bCs/>
          <w:kern w:val="0"/>
          <w:szCs w:val="21"/>
        </w:rPr>
        <w:t>地点：广西政府采购云平台（https：//www.gcy.zfcg.gxzf.gov.cn/）</w:t>
      </w:r>
    </w:p>
    <w:p w14:paraId="2CB8B008">
      <w:pPr>
        <w:spacing w:line="360" w:lineRule="auto"/>
        <w:ind w:firstLine="540"/>
        <w:rPr>
          <w:rFonts w:ascii="宋体" w:hAnsi="宋体" w:cs="宋体"/>
          <w:bCs/>
          <w:kern w:val="0"/>
          <w:szCs w:val="21"/>
        </w:rPr>
      </w:pPr>
      <w:r>
        <w:rPr>
          <w:rFonts w:hint="eastAsia" w:ascii="宋体" w:hAnsi="宋体" w:cs="宋体"/>
          <w:bCs/>
          <w:kern w:val="0"/>
          <w:szCs w:val="21"/>
        </w:rPr>
        <w:t>方式：网上下载。本项目不发放纸质文件，投标人自行登录广西政府采购云平台（https：//www.gcy.zfcg.gxzf.gov.cn/）在线申请获取采购文件(操作路径：登录广西政府采购云平台-项目采购-获取采购文件-找到本项目-点击“申请获取采购文件”) ，电子投标文件制作需要基于广西政府采购云平台获取的招标文件编制。</w:t>
      </w:r>
    </w:p>
    <w:p w14:paraId="1AC29456">
      <w:pPr>
        <w:spacing w:line="360" w:lineRule="auto"/>
        <w:ind w:firstLine="540"/>
        <w:rPr>
          <w:rFonts w:ascii="宋体" w:hAnsi="宋体" w:cs="宋体"/>
          <w:szCs w:val="21"/>
        </w:rPr>
      </w:pPr>
      <w:r>
        <w:rPr>
          <w:rFonts w:hint="eastAsia" w:ascii="宋体" w:hAnsi="宋体" w:cs="宋体"/>
          <w:bCs/>
          <w:kern w:val="0"/>
          <w:szCs w:val="21"/>
        </w:rPr>
        <w:t>售价：</w:t>
      </w:r>
      <w:r>
        <w:rPr>
          <w:rFonts w:hint="eastAsia" w:ascii="宋体" w:hAnsi="宋体"/>
          <w:szCs w:val="21"/>
        </w:rPr>
        <w:t>0元</w:t>
      </w:r>
    </w:p>
    <w:p w14:paraId="0160D81A">
      <w:pPr>
        <w:spacing w:line="360" w:lineRule="auto"/>
        <w:rPr>
          <w:rFonts w:ascii="黑体" w:hAnsi="黑体" w:eastAsia="黑体"/>
          <w:b/>
          <w:bCs/>
          <w:sz w:val="24"/>
        </w:rPr>
      </w:pPr>
      <w:bookmarkStart w:id="20" w:name="_Toc28359005"/>
      <w:bookmarkStart w:id="21" w:name="_Toc28359082"/>
      <w:bookmarkStart w:id="22" w:name="_Toc35393624"/>
      <w:bookmarkStart w:id="23" w:name="_Toc35393793"/>
      <w:r>
        <w:rPr>
          <w:rFonts w:hint="eastAsia" w:ascii="黑体" w:hAnsi="黑体" w:eastAsia="黑体"/>
          <w:b/>
          <w:bCs/>
          <w:sz w:val="24"/>
        </w:rPr>
        <w:t>四、提交投标文件</w:t>
      </w:r>
      <w:bookmarkEnd w:id="20"/>
      <w:bookmarkEnd w:id="21"/>
      <w:r>
        <w:rPr>
          <w:rFonts w:hint="eastAsia" w:ascii="黑体" w:hAnsi="黑体" w:eastAsia="黑体"/>
          <w:b/>
          <w:bCs/>
          <w:sz w:val="24"/>
        </w:rPr>
        <w:t>截止时间、开标时间和地点</w:t>
      </w:r>
      <w:bookmarkEnd w:id="22"/>
      <w:bookmarkEnd w:id="23"/>
    </w:p>
    <w:p w14:paraId="6A2E06DC">
      <w:pPr>
        <w:snapToGrid w:val="0"/>
        <w:spacing w:line="360" w:lineRule="auto"/>
        <w:ind w:firstLine="420" w:firstLineChars="200"/>
        <w:rPr>
          <w:rFonts w:ascii="宋体" w:hAnsi="宋体"/>
          <w:bCs/>
          <w:szCs w:val="21"/>
        </w:rPr>
      </w:pPr>
      <w:r>
        <w:rPr>
          <w:rFonts w:hint="eastAsia" w:ascii="宋体" w:hAnsi="宋体"/>
          <w:bCs/>
          <w:szCs w:val="21"/>
        </w:rPr>
        <w:t>提交投标文件截止时间：</w:t>
      </w:r>
      <w:r>
        <w:rPr>
          <w:rFonts w:hint="eastAsia" w:ascii="宋体" w:hAnsi="宋体" w:cs="宋体"/>
          <w:szCs w:val="21"/>
        </w:rPr>
        <w:t>2026年</w:t>
      </w:r>
      <w:r>
        <w:rPr>
          <w:rFonts w:hint="eastAsia" w:ascii="宋体" w:hAnsi="宋体" w:cs="宋体"/>
          <w:szCs w:val="21"/>
          <w:lang w:val="en-US" w:eastAsia="zh-CN"/>
        </w:rPr>
        <w:t xml:space="preserve">   </w:t>
      </w:r>
      <w:r>
        <w:rPr>
          <w:rFonts w:hint="eastAsia" w:ascii="宋体" w:hAnsi="宋体" w:cs="宋体"/>
          <w:szCs w:val="21"/>
        </w:rPr>
        <w:t>月</w:t>
      </w:r>
      <w:r>
        <w:rPr>
          <w:rFonts w:hint="eastAsia" w:ascii="宋体" w:hAnsi="宋体" w:cs="宋体"/>
          <w:szCs w:val="21"/>
          <w:lang w:val="en-US" w:eastAsia="zh-CN"/>
        </w:rPr>
        <w:t xml:space="preserve">   </w:t>
      </w:r>
      <w:r>
        <w:rPr>
          <w:rFonts w:hint="eastAsia" w:ascii="宋体" w:hAnsi="宋体" w:cs="宋体"/>
          <w:szCs w:val="21"/>
        </w:rPr>
        <w:t>日</w:t>
      </w:r>
      <w:r>
        <w:rPr>
          <w:rFonts w:hint="eastAsia" w:ascii="宋体" w:hAnsi="宋体" w:cs="宋体"/>
          <w:bCs/>
          <w:szCs w:val="21"/>
        </w:rPr>
        <w:t>09：30</w:t>
      </w:r>
      <w:r>
        <w:rPr>
          <w:rFonts w:hint="eastAsia" w:ascii="宋体" w:hAnsi="宋体" w:cs="宋体"/>
          <w:szCs w:val="21"/>
        </w:rPr>
        <w:t>(北京时间)。</w:t>
      </w:r>
    </w:p>
    <w:p w14:paraId="0F5E8EFA">
      <w:pPr>
        <w:snapToGrid w:val="0"/>
        <w:spacing w:line="360" w:lineRule="auto"/>
        <w:ind w:firstLine="420" w:firstLineChars="200"/>
        <w:rPr>
          <w:rFonts w:ascii="宋体" w:hAnsi="宋体"/>
          <w:bCs/>
          <w:szCs w:val="21"/>
        </w:rPr>
      </w:pPr>
      <w:r>
        <w:rPr>
          <w:rFonts w:hint="eastAsia" w:ascii="宋体" w:hAnsi="宋体"/>
          <w:bCs/>
          <w:szCs w:val="21"/>
        </w:rPr>
        <w:t xml:space="preserve">投标地点（网址）： </w:t>
      </w:r>
      <w:r>
        <w:rPr>
          <w:rFonts w:hint="eastAsia" w:ascii="宋体" w:hAnsi="宋体" w:cs="宋体"/>
          <w:szCs w:val="21"/>
        </w:rPr>
        <w:t>通过</w:t>
      </w:r>
      <w:r>
        <w:rPr>
          <w:rFonts w:hint="eastAsia" w:ascii="宋体" w:hAnsi="宋体" w:cs="宋体"/>
          <w:bCs/>
          <w:kern w:val="0"/>
          <w:szCs w:val="21"/>
        </w:rPr>
        <w:t>广西政府采购云平台（https</w:t>
      </w:r>
      <w:r>
        <w:rPr>
          <w:rFonts w:ascii="宋体" w:hAnsi="宋体" w:cs="宋体"/>
          <w:bCs/>
          <w:kern w:val="0"/>
          <w:szCs w:val="21"/>
        </w:rPr>
        <w:t>：</w:t>
      </w:r>
      <w:r>
        <w:rPr>
          <w:rFonts w:hint="eastAsia" w:ascii="宋体" w:hAnsi="宋体" w:cs="宋体"/>
          <w:bCs/>
          <w:kern w:val="0"/>
          <w:szCs w:val="21"/>
        </w:rPr>
        <w:t>//www.gcy.zfcg.gxzf.gov.cn/）</w:t>
      </w:r>
      <w:r>
        <w:rPr>
          <w:rFonts w:hint="eastAsia" w:ascii="宋体" w:hAnsi="宋体" w:cs="宋体"/>
          <w:szCs w:val="21"/>
        </w:rPr>
        <w:t>在线提交。</w:t>
      </w:r>
    </w:p>
    <w:p w14:paraId="250943CE">
      <w:pPr>
        <w:snapToGrid w:val="0"/>
        <w:spacing w:line="360" w:lineRule="auto"/>
        <w:ind w:firstLine="420" w:firstLineChars="200"/>
        <w:rPr>
          <w:rFonts w:ascii="宋体" w:hAnsi="宋体"/>
          <w:bCs/>
          <w:szCs w:val="21"/>
        </w:rPr>
      </w:pPr>
      <w:r>
        <w:rPr>
          <w:rFonts w:hint="eastAsia" w:ascii="宋体" w:hAnsi="宋体"/>
          <w:bCs/>
          <w:szCs w:val="21"/>
        </w:rPr>
        <w:t>开标时间：</w:t>
      </w:r>
      <w:r>
        <w:rPr>
          <w:rFonts w:hint="eastAsia" w:ascii="宋体" w:hAnsi="宋体" w:cs="宋体"/>
          <w:szCs w:val="21"/>
        </w:rPr>
        <w:t>2026年</w:t>
      </w:r>
      <w:r>
        <w:rPr>
          <w:rFonts w:hint="eastAsia" w:ascii="宋体" w:hAnsi="宋体" w:cs="宋体"/>
          <w:szCs w:val="21"/>
          <w:lang w:val="en-US" w:eastAsia="zh-CN"/>
        </w:rPr>
        <w:t xml:space="preserve">   </w:t>
      </w:r>
      <w:r>
        <w:rPr>
          <w:rFonts w:hint="eastAsia" w:ascii="宋体" w:hAnsi="宋体" w:cs="宋体"/>
          <w:szCs w:val="21"/>
        </w:rPr>
        <w:t>月</w:t>
      </w:r>
      <w:r>
        <w:rPr>
          <w:rFonts w:hint="eastAsia" w:ascii="宋体" w:hAnsi="宋体" w:cs="宋体"/>
          <w:szCs w:val="21"/>
          <w:lang w:val="en-US" w:eastAsia="zh-CN"/>
        </w:rPr>
        <w:t xml:space="preserve">   </w:t>
      </w:r>
      <w:r>
        <w:rPr>
          <w:rFonts w:hint="eastAsia" w:ascii="宋体" w:hAnsi="宋体" w:cs="宋体"/>
          <w:szCs w:val="21"/>
        </w:rPr>
        <w:t>日</w:t>
      </w:r>
      <w:r>
        <w:rPr>
          <w:rFonts w:hint="eastAsia" w:ascii="宋体" w:hAnsi="宋体" w:cs="宋体"/>
          <w:bCs/>
          <w:szCs w:val="21"/>
        </w:rPr>
        <w:t>09：30</w:t>
      </w:r>
      <w:r>
        <w:rPr>
          <w:rFonts w:hint="eastAsia" w:ascii="宋体" w:hAnsi="宋体" w:cs="宋体"/>
          <w:szCs w:val="21"/>
        </w:rPr>
        <w:t>(北京时间)</w:t>
      </w:r>
    </w:p>
    <w:p w14:paraId="2AD204C3">
      <w:pPr>
        <w:spacing w:line="360" w:lineRule="auto"/>
        <w:ind w:firstLine="420" w:firstLineChars="200"/>
        <w:rPr>
          <w:rFonts w:ascii="宋体" w:hAnsi="宋体"/>
          <w:bCs/>
          <w:szCs w:val="21"/>
          <w:u w:val="single"/>
        </w:rPr>
      </w:pPr>
      <w:r>
        <w:rPr>
          <w:rFonts w:hint="eastAsia" w:ascii="宋体" w:hAnsi="宋体"/>
          <w:bCs/>
          <w:szCs w:val="21"/>
        </w:rPr>
        <w:t>开标地点：</w:t>
      </w:r>
      <w:r>
        <w:rPr>
          <w:rFonts w:hint="eastAsia" w:ascii="宋体" w:hAnsi="宋体" w:cs="宋体"/>
          <w:szCs w:val="21"/>
        </w:rPr>
        <w:t>本项目将在</w:t>
      </w:r>
      <w:r>
        <w:rPr>
          <w:rFonts w:hint="eastAsia" w:ascii="宋体" w:hAnsi="宋体" w:cs="宋体"/>
          <w:bCs/>
          <w:kern w:val="0"/>
          <w:szCs w:val="21"/>
        </w:rPr>
        <w:t>广西政府采购云平台（https</w:t>
      </w:r>
      <w:r>
        <w:rPr>
          <w:rFonts w:ascii="宋体" w:hAnsi="宋体" w:cs="宋体"/>
          <w:bCs/>
          <w:kern w:val="0"/>
          <w:szCs w:val="21"/>
        </w:rPr>
        <w:t>：</w:t>
      </w:r>
      <w:r>
        <w:rPr>
          <w:rFonts w:hint="eastAsia" w:ascii="宋体" w:hAnsi="宋体" w:cs="宋体"/>
          <w:bCs/>
          <w:kern w:val="0"/>
          <w:szCs w:val="21"/>
        </w:rPr>
        <w:t>//www.gcy.zfcg.gxzf.gov.cn/）</w:t>
      </w:r>
      <w:r>
        <w:rPr>
          <w:rFonts w:hint="eastAsia" w:ascii="宋体" w:hAnsi="宋体" w:cs="宋体"/>
          <w:szCs w:val="21"/>
        </w:rPr>
        <w:t>电子开标大厅解密、开启。</w:t>
      </w:r>
    </w:p>
    <w:p w14:paraId="55576B3C">
      <w:pPr>
        <w:spacing w:line="360" w:lineRule="auto"/>
        <w:rPr>
          <w:rFonts w:ascii="黑体" w:hAnsi="黑体" w:eastAsia="黑体"/>
          <w:b/>
          <w:bCs/>
          <w:sz w:val="24"/>
        </w:rPr>
      </w:pPr>
      <w:bookmarkStart w:id="24" w:name="_Toc35393794"/>
      <w:bookmarkStart w:id="25" w:name="_Toc28359084"/>
      <w:bookmarkStart w:id="26" w:name="_Toc35393625"/>
      <w:bookmarkStart w:id="27" w:name="_Toc28359007"/>
      <w:r>
        <w:rPr>
          <w:rFonts w:hint="eastAsia" w:ascii="黑体" w:hAnsi="黑体" w:eastAsia="黑体"/>
          <w:b/>
          <w:bCs/>
          <w:sz w:val="24"/>
        </w:rPr>
        <w:t>五、公告期限</w:t>
      </w:r>
      <w:bookmarkEnd w:id="24"/>
      <w:bookmarkEnd w:id="25"/>
      <w:bookmarkEnd w:id="26"/>
      <w:bookmarkEnd w:id="27"/>
    </w:p>
    <w:p w14:paraId="1C826C6F">
      <w:pPr>
        <w:spacing w:line="360" w:lineRule="auto"/>
        <w:ind w:firstLine="420" w:firstLineChars="200"/>
        <w:rPr>
          <w:rFonts w:ascii="宋体" w:hAnsi="宋体" w:cs="宋体"/>
          <w:kern w:val="0"/>
          <w:szCs w:val="21"/>
        </w:rPr>
      </w:pPr>
      <w:r>
        <w:rPr>
          <w:rFonts w:hint="eastAsia" w:ascii="宋体" w:hAnsi="宋体" w:cs="宋体"/>
          <w:kern w:val="0"/>
          <w:szCs w:val="21"/>
        </w:rPr>
        <w:t>自本公告发布之日起5个工作日。</w:t>
      </w:r>
    </w:p>
    <w:p w14:paraId="5FB7297A">
      <w:pPr>
        <w:spacing w:line="360" w:lineRule="auto"/>
        <w:rPr>
          <w:rFonts w:ascii="黑体" w:hAnsi="黑体" w:eastAsia="黑体"/>
          <w:b/>
          <w:bCs/>
          <w:sz w:val="24"/>
        </w:rPr>
      </w:pPr>
      <w:bookmarkStart w:id="28" w:name="_Toc35393626"/>
      <w:bookmarkStart w:id="29" w:name="_Toc35393795"/>
      <w:r>
        <w:rPr>
          <w:rFonts w:hint="eastAsia" w:ascii="黑体" w:hAnsi="黑体" w:eastAsia="黑体"/>
          <w:b/>
          <w:bCs/>
          <w:sz w:val="24"/>
        </w:rPr>
        <w:t>六、其他补充事宜</w:t>
      </w:r>
      <w:bookmarkEnd w:id="28"/>
      <w:bookmarkEnd w:id="29"/>
    </w:p>
    <w:p w14:paraId="62713914">
      <w:pPr>
        <w:spacing w:line="360" w:lineRule="auto"/>
        <w:ind w:firstLine="315" w:firstLineChars="150"/>
        <w:rPr>
          <w:rFonts w:ascii="宋体" w:hAnsi="宋体" w:cs="宋体"/>
          <w:kern w:val="0"/>
          <w:szCs w:val="21"/>
        </w:rPr>
      </w:pPr>
      <w:r>
        <w:rPr>
          <w:rFonts w:hint="eastAsia" w:ascii="宋体" w:hAnsi="宋体" w:cs="宋体"/>
          <w:kern w:val="0"/>
          <w:szCs w:val="21"/>
        </w:rPr>
        <w:t>1</w:t>
      </w:r>
      <w:r>
        <w:rPr>
          <w:rFonts w:ascii="宋体" w:hAnsi="宋体" w:cs="宋体"/>
          <w:kern w:val="0"/>
          <w:szCs w:val="21"/>
        </w:rPr>
        <w:t>.</w:t>
      </w:r>
      <w:r>
        <w:rPr>
          <w:rFonts w:hint="eastAsia" w:ascii="宋体" w:hAnsi="宋体" w:cs="宋体"/>
          <w:kern w:val="0"/>
          <w:szCs w:val="21"/>
        </w:rPr>
        <w:t>投标保证金：本项目不收取投标保证金。</w:t>
      </w:r>
      <w:bookmarkStart w:id="30" w:name="_Hlk37429585"/>
    </w:p>
    <w:p w14:paraId="575B7D74">
      <w:pPr>
        <w:spacing w:line="360" w:lineRule="auto"/>
        <w:ind w:firstLine="315" w:firstLineChars="150"/>
        <w:rPr>
          <w:rFonts w:ascii="宋体" w:hAnsi="宋体" w:cs="宋体"/>
          <w:kern w:val="0"/>
          <w:szCs w:val="21"/>
        </w:rPr>
      </w:pPr>
      <w:r>
        <w:rPr>
          <w:rFonts w:hint="eastAsia" w:ascii="宋体" w:hAnsi="宋体" w:cs="宋体"/>
          <w:kern w:val="0"/>
          <w:szCs w:val="21"/>
        </w:rPr>
        <w:t>2</w:t>
      </w:r>
      <w:bookmarkStart w:id="31" w:name="_Hlk37429595"/>
      <w:r>
        <w:rPr>
          <w:rFonts w:hint="eastAsia" w:ascii="宋体" w:hAnsi="宋体" w:cs="宋体"/>
          <w:kern w:val="0"/>
          <w:szCs w:val="21"/>
        </w:rPr>
        <w:t>.信息发布媒体：中国政府采购网（http://www.ccgp.gov.cn）、广西壮族自治区政府采购网（http://zfcg.gxzf.gov.cn）</w:t>
      </w:r>
      <w:bookmarkEnd w:id="30"/>
    </w:p>
    <w:bookmarkEnd w:id="31"/>
    <w:p w14:paraId="092844AA">
      <w:pPr>
        <w:spacing w:line="360" w:lineRule="auto"/>
        <w:ind w:firstLine="315" w:firstLineChars="150"/>
        <w:rPr>
          <w:rFonts w:ascii="宋体" w:hAnsi="宋体" w:cs="宋体"/>
          <w:kern w:val="0"/>
          <w:szCs w:val="21"/>
        </w:rPr>
      </w:pPr>
      <w:bookmarkStart w:id="32" w:name="_Hlk37429674"/>
      <w:r>
        <w:rPr>
          <w:rFonts w:hint="eastAsia" w:ascii="宋体" w:hAnsi="宋体"/>
          <w:szCs w:val="21"/>
        </w:rPr>
        <w:t>3</w:t>
      </w:r>
      <w:r>
        <w:rPr>
          <w:rFonts w:ascii="宋体" w:hAnsi="宋体"/>
          <w:szCs w:val="21"/>
        </w:rPr>
        <w:t>.</w:t>
      </w:r>
      <w:r>
        <w:rPr>
          <w:rFonts w:hint="eastAsia" w:ascii="宋体" w:hAnsi="宋体" w:cs="宋体"/>
          <w:kern w:val="0"/>
          <w:szCs w:val="21"/>
        </w:rPr>
        <w:t>本项目需要落实的政府采购政策</w:t>
      </w:r>
    </w:p>
    <w:p w14:paraId="07CD7E10">
      <w:pPr>
        <w:spacing w:line="360" w:lineRule="auto"/>
        <w:ind w:firstLine="315" w:firstLineChars="150"/>
        <w:rPr>
          <w:rFonts w:ascii="宋体" w:hAnsi="宋体" w:cs="宋体"/>
          <w:kern w:val="0"/>
          <w:szCs w:val="21"/>
        </w:rPr>
      </w:pPr>
      <w:r>
        <w:rPr>
          <w:rFonts w:hint="eastAsia" w:ascii="宋体" w:hAnsi="宋体" w:cs="宋体"/>
          <w:kern w:val="0"/>
          <w:szCs w:val="21"/>
        </w:rPr>
        <w:t>（1）政府采购促进中小企业发展。</w:t>
      </w:r>
    </w:p>
    <w:p w14:paraId="609F9E06">
      <w:pPr>
        <w:spacing w:line="360" w:lineRule="auto"/>
        <w:ind w:firstLine="315" w:firstLineChars="150"/>
        <w:rPr>
          <w:rFonts w:ascii="宋体" w:hAnsi="宋体" w:cs="宋体"/>
          <w:kern w:val="0"/>
          <w:szCs w:val="21"/>
        </w:rPr>
      </w:pPr>
      <w:r>
        <w:rPr>
          <w:rFonts w:hint="eastAsia" w:ascii="宋体" w:hAnsi="宋体" w:cs="宋体"/>
          <w:kern w:val="0"/>
          <w:szCs w:val="21"/>
        </w:rPr>
        <w:t>（2）政府采购支持采用本国产品的政策。</w:t>
      </w:r>
    </w:p>
    <w:p w14:paraId="540A4735">
      <w:pPr>
        <w:spacing w:line="360" w:lineRule="auto"/>
        <w:ind w:firstLine="315" w:firstLineChars="150"/>
        <w:rPr>
          <w:rFonts w:ascii="宋体" w:hAnsi="宋体" w:cs="宋体"/>
          <w:kern w:val="0"/>
          <w:szCs w:val="21"/>
        </w:rPr>
      </w:pPr>
      <w:r>
        <w:rPr>
          <w:rFonts w:hint="eastAsia" w:ascii="宋体" w:hAnsi="宋体" w:cs="宋体"/>
          <w:kern w:val="0"/>
          <w:szCs w:val="21"/>
        </w:rPr>
        <w:t>（3）强制采购节能产品；优先采购节能产品、环境标志产品。</w:t>
      </w:r>
    </w:p>
    <w:p w14:paraId="4F7742B0">
      <w:pPr>
        <w:spacing w:line="360" w:lineRule="auto"/>
        <w:ind w:firstLine="315" w:firstLineChars="150"/>
        <w:rPr>
          <w:rFonts w:ascii="宋体" w:hAnsi="宋体" w:cs="宋体"/>
          <w:kern w:val="0"/>
          <w:szCs w:val="21"/>
        </w:rPr>
      </w:pPr>
      <w:r>
        <w:rPr>
          <w:rFonts w:hint="eastAsia" w:ascii="宋体" w:hAnsi="宋体" w:cs="宋体"/>
          <w:kern w:val="0"/>
          <w:szCs w:val="21"/>
        </w:rPr>
        <w:t>（4）政府采购促进残疾人就业政策。</w:t>
      </w:r>
    </w:p>
    <w:p w14:paraId="69E1107A">
      <w:pPr>
        <w:spacing w:line="360" w:lineRule="auto"/>
        <w:ind w:firstLine="315" w:firstLineChars="150"/>
        <w:rPr>
          <w:rFonts w:ascii="宋体" w:hAnsi="宋体" w:cs="宋体"/>
          <w:kern w:val="0"/>
          <w:szCs w:val="21"/>
        </w:rPr>
      </w:pPr>
      <w:r>
        <w:rPr>
          <w:rFonts w:hint="eastAsia" w:ascii="宋体" w:hAnsi="宋体" w:cs="宋体"/>
          <w:kern w:val="0"/>
          <w:szCs w:val="21"/>
        </w:rPr>
        <w:t>（5）政府采购支持监狱企业发展。</w:t>
      </w:r>
      <w:bookmarkEnd w:id="32"/>
    </w:p>
    <w:p w14:paraId="3F9259AF">
      <w:pPr>
        <w:spacing w:line="360" w:lineRule="auto"/>
        <w:ind w:firstLine="315" w:firstLineChars="150"/>
        <w:rPr>
          <w:rFonts w:ascii="宋体" w:hAnsi="宋体" w:cs="宋体"/>
          <w:kern w:val="0"/>
          <w:szCs w:val="21"/>
        </w:rPr>
      </w:pPr>
      <w:r>
        <w:rPr>
          <w:rFonts w:hint="eastAsia" w:ascii="宋体" w:hAnsi="宋体" w:cs="宋体"/>
          <w:kern w:val="0"/>
          <w:szCs w:val="21"/>
        </w:rPr>
        <w:t>4.资格条件特别说明：</w:t>
      </w:r>
    </w:p>
    <w:p w14:paraId="334AA00F">
      <w:pPr>
        <w:spacing w:line="360" w:lineRule="auto"/>
        <w:ind w:firstLine="315" w:firstLineChars="150"/>
        <w:rPr>
          <w:rFonts w:ascii="宋体" w:hAnsi="宋体" w:cs="宋体"/>
          <w:kern w:val="0"/>
          <w:szCs w:val="21"/>
        </w:rPr>
      </w:pPr>
      <w:r>
        <w:rPr>
          <w:rFonts w:hint="eastAsia" w:ascii="宋体" w:hAnsi="宋体" w:cs="宋体"/>
          <w:kern w:val="0"/>
          <w:szCs w:val="21"/>
        </w:rPr>
        <w:t>（1）单位负责人为同一人或者存在直接控股、管理关系的不同供应商，不得参加同一合同项下的政府采购活动。除单一来源采购项目外，为本项目提供过整体设计、规范编制或者项目管理、监理、检测等服务的供应商，不得再参加本项目上述服务以外的其他采购活动。</w:t>
      </w:r>
    </w:p>
    <w:p w14:paraId="1BC2EFD9">
      <w:pPr>
        <w:spacing w:line="360" w:lineRule="auto"/>
        <w:ind w:firstLine="315" w:firstLineChars="150"/>
        <w:rPr>
          <w:rFonts w:ascii="宋体" w:hAnsi="宋体" w:cs="宋体"/>
          <w:kern w:val="0"/>
          <w:szCs w:val="21"/>
        </w:rPr>
      </w:pPr>
      <w:r>
        <w:rPr>
          <w:rFonts w:hint="eastAsia" w:ascii="宋体" w:hAnsi="宋体" w:cs="宋体"/>
          <w:kern w:val="0"/>
          <w:szCs w:val="21"/>
        </w:rPr>
        <w:t>（2）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4BB06749">
      <w:pPr>
        <w:spacing w:line="360" w:lineRule="auto"/>
        <w:ind w:firstLine="315" w:firstLineChars="150"/>
        <w:rPr>
          <w:rFonts w:ascii="宋体" w:hAnsi="宋体" w:cs="宋体"/>
          <w:kern w:val="0"/>
          <w:szCs w:val="21"/>
        </w:rPr>
      </w:pPr>
      <w:r>
        <w:rPr>
          <w:rFonts w:hint="eastAsia" w:ascii="宋体" w:hAnsi="宋体" w:cs="宋体"/>
          <w:kern w:val="0"/>
          <w:szCs w:val="21"/>
        </w:rPr>
        <w:t>（3）已获取招标文件的供应商不等于符合本项目的供应商资格条件。</w:t>
      </w:r>
    </w:p>
    <w:p w14:paraId="2A618D43">
      <w:pPr>
        <w:spacing w:line="360" w:lineRule="auto"/>
        <w:ind w:firstLine="315" w:firstLineChars="150"/>
        <w:rPr>
          <w:rFonts w:ascii="宋体" w:hAnsi="宋体" w:cs="宋体"/>
          <w:kern w:val="0"/>
          <w:szCs w:val="21"/>
        </w:rPr>
      </w:pPr>
      <w:r>
        <w:rPr>
          <w:rFonts w:hint="eastAsia" w:ascii="宋体" w:hAnsi="宋体" w:cs="宋体"/>
          <w:kern w:val="0"/>
          <w:szCs w:val="21"/>
        </w:rPr>
        <w:t>5.投标人投标注意事项</w:t>
      </w:r>
    </w:p>
    <w:p w14:paraId="61A6991D">
      <w:pPr>
        <w:spacing w:line="360" w:lineRule="auto"/>
        <w:ind w:firstLine="420" w:firstLineChars="200"/>
        <w:rPr>
          <w:rFonts w:ascii="宋体" w:hAnsi="宋体" w:cs="宋体"/>
          <w:kern w:val="0"/>
          <w:szCs w:val="21"/>
        </w:rPr>
      </w:pPr>
      <w:r>
        <w:rPr>
          <w:rFonts w:hint="eastAsia" w:ascii="宋体" w:hAnsi="宋体" w:cs="宋体"/>
          <w:kern w:val="0"/>
          <w:szCs w:val="21"/>
        </w:rPr>
        <w:t>（1）本项目为全流程电子化政府采购项目，通过广西政府采购云平台（https：//www.gcy.zfcg.gxzf.gov.cn/）实行在线电子投标，投标人应先安装广西政府采购云平台新版客户端（新版客户端下载路径：广西政府采购网（访问地址http：//zfcg.gxzf.gov.cn/）—办事服务—下载专区），并按照本项目招标文件和广西政府采购云平台的要求编制、加密后在投标截止时间前通过网络上传至广西政府采购云平台（加密的电子投标文件是指后缀名为“jmbs”的文件），投标人在广西政府采购云平台提交电子投标文件时，请填写参加远程开标活动经办人联系方式。投标人可登录广西政府采购云平台，依次进入“服务中心-项目采购-操作流程-电子招投标-政府采购项目电子交易管理操作指南-供应商”查看电子投标具体操作流程。</w:t>
      </w:r>
    </w:p>
    <w:p w14:paraId="13CBD37A">
      <w:pPr>
        <w:spacing w:line="360" w:lineRule="auto"/>
        <w:ind w:firstLine="420" w:firstLineChars="200"/>
        <w:rPr>
          <w:rFonts w:ascii="宋体" w:hAnsi="宋体" w:cs="宋体"/>
          <w:kern w:val="0"/>
          <w:szCs w:val="21"/>
        </w:rPr>
      </w:pPr>
      <w:r>
        <w:rPr>
          <w:rFonts w:hint="eastAsia" w:ascii="宋体" w:hAnsi="宋体" w:cs="宋体"/>
          <w:kern w:val="0"/>
          <w:szCs w:val="21"/>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广西政府采购云平台，依次进入“服务中心-入驻与配置”中查看CA数字证书办理操作流程。</w:t>
      </w:r>
    </w:p>
    <w:p w14:paraId="76E7FE9D">
      <w:pPr>
        <w:spacing w:line="360" w:lineRule="auto"/>
        <w:ind w:firstLine="420" w:firstLineChars="200"/>
        <w:rPr>
          <w:rFonts w:ascii="宋体" w:hAnsi="宋体" w:cs="宋体"/>
          <w:kern w:val="0"/>
          <w:szCs w:val="21"/>
        </w:rPr>
      </w:pPr>
      <w:r>
        <w:rPr>
          <w:rFonts w:hint="eastAsia" w:ascii="宋体" w:hAnsi="宋体" w:cs="宋体"/>
          <w:kern w:val="0"/>
          <w:szCs w:val="21"/>
        </w:rPr>
        <w:t>（3）CA证书在线解密：投标人投标时，需凭制作投标文件时用来加密的有效数字证书（CA认证）登录广西政府采购云平台电子开标大厅现场按规定时间对加密的投标文件进行解密，否则后果自负。</w:t>
      </w:r>
    </w:p>
    <w:p w14:paraId="734B29E4">
      <w:pPr>
        <w:spacing w:line="360" w:lineRule="auto"/>
        <w:ind w:firstLine="420" w:firstLineChars="200"/>
        <w:rPr>
          <w:rFonts w:ascii="宋体" w:hAnsi="宋体" w:cs="宋体"/>
          <w:kern w:val="0"/>
          <w:szCs w:val="21"/>
        </w:rPr>
      </w:pPr>
      <w:r>
        <w:rPr>
          <w:rFonts w:hint="eastAsia" w:ascii="宋体" w:hAnsi="宋体" w:cs="宋体"/>
          <w:kern w:val="0"/>
          <w:szCs w:val="21"/>
        </w:rPr>
        <w:t>注：1）为确保网上操作合法、有效和安全，请投标人确保在电子投标过程中能够对相关数据电文进行加密和使用电子签章，妥善保管CA数字证书并使用有效的CA数字证书参与整个招标活动。</w:t>
      </w:r>
    </w:p>
    <w:p w14:paraId="29E4E376">
      <w:pPr>
        <w:spacing w:line="360" w:lineRule="auto"/>
        <w:ind w:firstLine="420" w:firstLineChars="200"/>
        <w:rPr>
          <w:rFonts w:ascii="宋体" w:hAnsi="宋体" w:cs="宋体"/>
          <w:kern w:val="0"/>
          <w:szCs w:val="21"/>
        </w:rPr>
      </w:pPr>
      <w:r>
        <w:rPr>
          <w:rFonts w:hint="eastAsia" w:ascii="宋体" w:hAnsi="宋体" w:cs="宋体"/>
          <w:kern w:val="0"/>
          <w:szCs w:val="21"/>
        </w:rPr>
        <w:t>2）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441EC344">
      <w:pPr>
        <w:spacing w:line="360" w:lineRule="auto"/>
        <w:ind w:firstLine="420" w:firstLineChars="200"/>
        <w:rPr>
          <w:rFonts w:ascii="宋体" w:hAnsi="宋体" w:cs="宋体"/>
          <w:kern w:val="0"/>
          <w:szCs w:val="21"/>
        </w:rPr>
      </w:pPr>
      <w:r>
        <w:rPr>
          <w:rFonts w:hint="eastAsia" w:ascii="宋体" w:hAnsi="宋体" w:cs="宋体"/>
          <w:kern w:val="0"/>
          <w:szCs w:val="21"/>
        </w:rPr>
        <w:t>若对项目采购电子交易系统操作有疑问，可登录广西政府采购云平台（https：//www.gcy.zfcg.gxzf.gov.cn/），点击右侧咨询小采，获取采小蜜智能服务管家帮助，或拨打服务热线95763或者0771-3381253获取帮助。</w:t>
      </w:r>
    </w:p>
    <w:p w14:paraId="42A70A36">
      <w:pPr>
        <w:spacing w:line="360" w:lineRule="auto"/>
        <w:ind w:firstLine="422" w:firstLineChars="200"/>
        <w:rPr>
          <w:rFonts w:hint="eastAsia" w:ascii="宋体" w:hAnsi="宋体" w:cs="宋体"/>
          <w:b/>
          <w:bCs/>
          <w:kern w:val="0"/>
          <w:szCs w:val="21"/>
        </w:rPr>
      </w:pPr>
      <w:r>
        <w:rPr>
          <w:rFonts w:hint="eastAsia" w:ascii="宋体" w:hAnsi="宋体" w:cs="宋体"/>
          <w:b/>
          <w:bCs/>
          <w:kern w:val="0"/>
          <w:szCs w:val="21"/>
        </w:rPr>
        <w:t>6.投标人可以针对一个或者多个分标进行投标，标项一至标项三兼投不兼中，只能成为一个分标的第一中标候选人，其他分标不再成为中标候选人，标项一至标项三的推荐顺序按照标项一→标项二→标项三进行推荐。</w:t>
      </w:r>
    </w:p>
    <w:p w14:paraId="0E0AB0C3">
      <w:pPr>
        <w:spacing w:line="360" w:lineRule="auto"/>
        <w:ind w:firstLine="420" w:firstLineChars="200"/>
        <w:rPr>
          <w:rFonts w:ascii="宋体" w:hAnsi="宋体" w:cs="宋体"/>
          <w:kern w:val="0"/>
          <w:szCs w:val="21"/>
        </w:rPr>
      </w:pPr>
      <w:r>
        <w:rPr>
          <w:rFonts w:hint="eastAsia" w:ascii="宋体" w:hAnsi="宋体" w:cs="宋体"/>
          <w:kern w:val="0"/>
          <w:szCs w:val="21"/>
          <w:lang w:val="en-US" w:eastAsia="zh-CN"/>
        </w:rPr>
        <w:t>7.</w:t>
      </w:r>
      <w:r>
        <w:rPr>
          <w:rFonts w:hint="eastAsia" w:ascii="宋体" w:hAnsi="宋体" w:cs="宋体"/>
          <w:kern w:val="0"/>
          <w:szCs w:val="21"/>
        </w:rPr>
        <w:t>监督部门监督管理机构：广西壮族自治区财政厅政府采购监督管理处电话：0771-5330137。</w:t>
      </w:r>
    </w:p>
    <w:p w14:paraId="33304CC8">
      <w:pPr>
        <w:spacing w:line="360" w:lineRule="auto"/>
        <w:rPr>
          <w:rFonts w:ascii="黑体" w:hAnsi="黑体" w:eastAsia="黑体"/>
          <w:b/>
          <w:bCs/>
          <w:sz w:val="24"/>
        </w:rPr>
      </w:pPr>
      <w:bookmarkStart w:id="33" w:name="_Toc28359008"/>
      <w:bookmarkStart w:id="34" w:name="_Toc35393627"/>
      <w:bookmarkStart w:id="35" w:name="_Toc28359085"/>
      <w:bookmarkStart w:id="36" w:name="_Toc35393796"/>
      <w:r>
        <w:rPr>
          <w:rFonts w:hint="eastAsia" w:ascii="黑体" w:hAnsi="黑体" w:eastAsia="黑体"/>
          <w:b/>
          <w:bCs/>
          <w:sz w:val="24"/>
        </w:rPr>
        <w:t>七、对本次招标提出询问，请按</w:t>
      </w:r>
      <w:r>
        <w:rPr>
          <w:rFonts w:ascii="黑体" w:hAnsi="黑体" w:eastAsia="黑体"/>
          <w:b/>
          <w:bCs/>
          <w:sz w:val="24"/>
        </w:rPr>
        <w:t>以下方式</w:t>
      </w:r>
      <w:r>
        <w:rPr>
          <w:rFonts w:hint="eastAsia" w:ascii="黑体" w:hAnsi="黑体" w:eastAsia="黑体"/>
          <w:b/>
          <w:bCs/>
          <w:sz w:val="24"/>
        </w:rPr>
        <w:t>联系。</w:t>
      </w:r>
      <w:bookmarkEnd w:id="33"/>
      <w:bookmarkEnd w:id="34"/>
      <w:bookmarkEnd w:id="35"/>
      <w:bookmarkEnd w:id="36"/>
    </w:p>
    <w:p w14:paraId="5D84B6B4">
      <w:pPr>
        <w:spacing w:line="360" w:lineRule="auto"/>
        <w:ind w:firstLine="420" w:firstLineChars="200"/>
        <w:jc w:val="left"/>
        <w:rPr>
          <w:rFonts w:ascii="宋体" w:hAnsi="宋体"/>
          <w:szCs w:val="21"/>
        </w:rPr>
      </w:pPr>
      <w:r>
        <w:rPr>
          <w:rFonts w:hint="eastAsia" w:ascii="宋体" w:hAnsi="宋体" w:cs="宋体"/>
          <w:szCs w:val="21"/>
        </w:rPr>
        <w:t>1.采购人信息</w:t>
      </w:r>
    </w:p>
    <w:p w14:paraId="2AABAE0A">
      <w:pPr>
        <w:spacing w:line="360" w:lineRule="auto"/>
        <w:ind w:firstLine="420" w:firstLineChars="200"/>
        <w:jc w:val="left"/>
        <w:rPr>
          <w:rFonts w:ascii="宋体" w:hAnsi="宋体" w:cs="宋体"/>
          <w:szCs w:val="21"/>
        </w:rPr>
      </w:pPr>
      <w:r>
        <w:rPr>
          <w:rFonts w:hint="eastAsia" w:ascii="宋体" w:hAnsi="宋体" w:cs="宋体"/>
          <w:szCs w:val="21"/>
        </w:rPr>
        <w:t>名称：广西师范大学</w:t>
      </w:r>
    </w:p>
    <w:p w14:paraId="408C719D">
      <w:pPr>
        <w:spacing w:line="360" w:lineRule="auto"/>
        <w:ind w:firstLine="420" w:firstLineChars="200"/>
        <w:jc w:val="left"/>
        <w:rPr>
          <w:rFonts w:ascii="宋体" w:hAnsi="宋体" w:cs="宋体"/>
          <w:szCs w:val="21"/>
        </w:rPr>
      </w:pPr>
      <w:r>
        <w:rPr>
          <w:rFonts w:hint="eastAsia" w:ascii="宋体" w:hAnsi="宋体" w:cs="宋体"/>
          <w:szCs w:val="21"/>
        </w:rPr>
        <w:t>地址：桂林市七星区街道育才路15号</w:t>
      </w:r>
    </w:p>
    <w:p w14:paraId="1AE3BF05">
      <w:pPr>
        <w:spacing w:line="360" w:lineRule="auto"/>
        <w:ind w:firstLine="420" w:firstLineChars="200"/>
        <w:jc w:val="left"/>
        <w:rPr>
          <w:rFonts w:ascii="宋体" w:hAnsi="宋体" w:cs="宋体"/>
          <w:szCs w:val="21"/>
        </w:rPr>
      </w:pPr>
      <w:r>
        <w:rPr>
          <w:rFonts w:hint="eastAsia" w:ascii="宋体" w:hAnsi="宋体" w:cs="宋体"/>
          <w:szCs w:val="21"/>
        </w:rPr>
        <w:t>项目联系方式人：程老师</w:t>
      </w:r>
    </w:p>
    <w:p w14:paraId="0962838E">
      <w:pPr>
        <w:spacing w:line="360" w:lineRule="auto"/>
        <w:ind w:firstLine="420" w:firstLineChars="200"/>
        <w:jc w:val="left"/>
        <w:rPr>
          <w:rFonts w:ascii="宋体" w:hAnsi="宋体" w:cs="宋体"/>
          <w:szCs w:val="21"/>
        </w:rPr>
      </w:pPr>
      <w:r>
        <w:rPr>
          <w:rFonts w:hint="eastAsia" w:ascii="宋体" w:hAnsi="宋体" w:cs="宋体"/>
          <w:szCs w:val="21"/>
        </w:rPr>
        <w:t>项目联系方式：0773-3696563</w:t>
      </w:r>
    </w:p>
    <w:p w14:paraId="76FF14DD">
      <w:pPr>
        <w:spacing w:line="360" w:lineRule="auto"/>
        <w:ind w:firstLine="420" w:firstLineChars="200"/>
        <w:jc w:val="left"/>
        <w:rPr>
          <w:rFonts w:ascii="宋体" w:hAnsi="宋体" w:cs="宋体"/>
          <w:szCs w:val="21"/>
        </w:rPr>
      </w:pPr>
      <w:r>
        <w:rPr>
          <w:rFonts w:hint="eastAsia" w:ascii="宋体" w:hAnsi="宋体" w:cs="宋体"/>
          <w:szCs w:val="21"/>
        </w:rPr>
        <w:t>2.采购代理机构信息</w:t>
      </w:r>
    </w:p>
    <w:p w14:paraId="75066A12">
      <w:pPr>
        <w:spacing w:line="360" w:lineRule="auto"/>
        <w:ind w:firstLine="420" w:firstLineChars="200"/>
        <w:jc w:val="left"/>
        <w:rPr>
          <w:rFonts w:ascii="宋体" w:hAnsi="宋体" w:cs="宋体"/>
          <w:szCs w:val="21"/>
        </w:rPr>
      </w:pPr>
      <w:r>
        <w:rPr>
          <w:rFonts w:hint="eastAsia" w:ascii="宋体" w:hAnsi="宋体" w:cs="宋体"/>
          <w:szCs w:val="21"/>
        </w:rPr>
        <w:t>名称：建银工程咨询有限责任公司</w:t>
      </w:r>
    </w:p>
    <w:p w14:paraId="27505ADD">
      <w:pPr>
        <w:spacing w:line="360" w:lineRule="auto"/>
        <w:ind w:firstLine="420" w:firstLineChars="200"/>
        <w:jc w:val="left"/>
        <w:rPr>
          <w:rFonts w:ascii="宋体" w:hAnsi="宋体" w:cs="宋体"/>
          <w:szCs w:val="21"/>
        </w:rPr>
      </w:pPr>
      <w:r>
        <w:rPr>
          <w:rFonts w:hint="eastAsia" w:ascii="宋体" w:hAnsi="宋体" w:cs="宋体"/>
          <w:szCs w:val="21"/>
        </w:rPr>
        <w:t>地址：桂林市解放西路3-5号五楼</w:t>
      </w:r>
    </w:p>
    <w:p w14:paraId="37317977">
      <w:pPr>
        <w:spacing w:line="360" w:lineRule="auto"/>
        <w:ind w:firstLine="420" w:firstLineChars="200"/>
        <w:jc w:val="left"/>
        <w:rPr>
          <w:rFonts w:ascii="宋体" w:hAnsi="宋体" w:cs="宋体"/>
          <w:szCs w:val="21"/>
        </w:rPr>
      </w:pPr>
      <w:r>
        <w:rPr>
          <w:rFonts w:hint="eastAsia" w:ascii="宋体" w:hAnsi="宋体" w:cs="宋体"/>
          <w:szCs w:val="21"/>
        </w:rPr>
        <w:t>项目联系人：黎明勇、蒙蔷驿、罗燕、艾迪、覃玉梅</w:t>
      </w:r>
    </w:p>
    <w:p w14:paraId="7F11709C">
      <w:pPr>
        <w:spacing w:line="360" w:lineRule="auto"/>
        <w:ind w:firstLine="420" w:firstLineChars="200"/>
        <w:jc w:val="left"/>
        <w:rPr>
          <w:rFonts w:ascii="宋体" w:hAnsi="宋体" w:cs="宋体"/>
          <w:szCs w:val="21"/>
        </w:rPr>
      </w:pPr>
      <w:r>
        <w:rPr>
          <w:rFonts w:hint="eastAsia" w:ascii="宋体" w:hAnsi="宋体" w:cs="宋体"/>
          <w:szCs w:val="21"/>
        </w:rPr>
        <w:t>项目联系方式：0773-2834827</w:t>
      </w:r>
    </w:p>
    <w:p w14:paraId="61C07B7D">
      <w:pPr>
        <w:spacing w:line="360" w:lineRule="auto"/>
        <w:jc w:val="right"/>
        <w:rPr>
          <w:rFonts w:ascii="宋体" w:hAnsi="宋体" w:cs="宋体"/>
          <w:u w:val="single"/>
        </w:rPr>
      </w:pPr>
      <w:r>
        <w:rPr>
          <w:rFonts w:hint="eastAsia" w:ascii="宋体" w:hAnsi="宋体" w:cs="宋体"/>
          <w:szCs w:val="21"/>
        </w:rPr>
        <w:t>建银工程咨询有限责任公司</w:t>
      </w:r>
    </w:p>
    <w:p w14:paraId="27A67B22">
      <w:pPr>
        <w:spacing w:line="360" w:lineRule="auto"/>
        <w:jc w:val="right"/>
        <w:rPr>
          <w:rFonts w:ascii="仿宋_GB2312" w:hAnsi="宋体" w:eastAsia="仿宋_GB2312"/>
          <w:sz w:val="24"/>
          <w:szCs w:val="20"/>
        </w:rPr>
      </w:pPr>
      <w:r>
        <w:rPr>
          <w:rFonts w:hint="eastAsia" w:ascii="宋体" w:hAnsi="宋体" w:cs="宋体"/>
        </w:rPr>
        <w:t>2026年</w:t>
      </w:r>
      <w:r>
        <w:rPr>
          <w:rFonts w:hint="eastAsia" w:ascii="宋体" w:hAnsi="宋体" w:cs="宋体"/>
          <w:lang w:val="en-US" w:eastAsia="zh-CN"/>
        </w:rPr>
        <w:t xml:space="preserve">   </w:t>
      </w:r>
      <w:r>
        <w:rPr>
          <w:rFonts w:hint="eastAsia" w:ascii="宋体" w:hAnsi="宋体" w:cs="宋体"/>
        </w:rPr>
        <w:t>月</w:t>
      </w:r>
      <w:r>
        <w:rPr>
          <w:rFonts w:hint="eastAsia" w:ascii="宋体" w:hAnsi="宋体" w:cs="宋体"/>
          <w:lang w:val="en-US" w:eastAsia="zh-CN"/>
        </w:rPr>
        <w:t xml:space="preserve">   </w:t>
      </w:r>
      <w:r>
        <w:rPr>
          <w:rFonts w:hint="eastAsia" w:ascii="宋体" w:hAnsi="宋体" w:cs="宋体"/>
        </w:rPr>
        <w:t>日</w:t>
      </w:r>
      <w:r>
        <w:rPr>
          <w:rFonts w:ascii="仿宋_GB2312" w:hAnsi="宋体" w:eastAsia="仿宋_GB2312"/>
          <w:sz w:val="24"/>
          <w:szCs w:val="20"/>
        </w:rPr>
        <w:br w:type="page"/>
      </w:r>
    </w:p>
    <w:p w14:paraId="44C42C2C">
      <w:pPr>
        <w:pStyle w:val="4"/>
        <w:keepNext w:val="0"/>
        <w:keepLines w:val="0"/>
        <w:jc w:val="center"/>
        <w:rPr>
          <w:sz w:val="30"/>
          <w:szCs w:val="30"/>
        </w:rPr>
      </w:pPr>
      <w:bookmarkStart w:id="37" w:name="_Toc20037"/>
      <w:bookmarkStart w:id="38" w:name="_Toc828"/>
      <w:r>
        <w:rPr>
          <w:rFonts w:hint="eastAsia"/>
        </w:rPr>
        <w:t>第二章采购需求</w:t>
      </w:r>
      <w:bookmarkEnd w:id="37"/>
      <w:bookmarkEnd w:id="38"/>
    </w:p>
    <w:p w14:paraId="478368E7">
      <w:pPr>
        <w:spacing w:line="360" w:lineRule="auto"/>
        <w:jc w:val="left"/>
        <w:rPr>
          <w:rFonts w:ascii="宋体" w:hAnsi="宋体" w:cs="宋体"/>
          <w:szCs w:val="21"/>
        </w:rPr>
      </w:pPr>
      <w:bookmarkStart w:id="39" w:name="_Toc254970631"/>
      <w:bookmarkStart w:id="40" w:name="_Toc254970490"/>
      <w:r>
        <w:rPr>
          <w:rFonts w:hint="eastAsia" w:ascii="宋体" w:hAnsi="宋体" w:cs="宋体"/>
          <w:szCs w:val="21"/>
        </w:rPr>
        <w:t>说明：</w:t>
      </w:r>
    </w:p>
    <w:p w14:paraId="317C90D1">
      <w:pPr>
        <w:spacing w:line="360" w:lineRule="auto"/>
        <w:ind w:firstLine="420" w:firstLineChars="200"/>
        <w:jc w:val="left"/>
        <w:rPr>
          <w:rFonts w:ascii="宋体" w:hAnsi="宋体" w:cs="宋体"/>
          <w:szCs w:val="21"/>
        </w:rPr>
      </w:pPr>
      <w:r>
        <w:rPr>
          <w:rFonts w:hint="eastAsia"/>
        </w:rPr>
        <w:t>1. 为落实政府采购政策需满足的要求</w:t>
      </w:r>
    </w:p>
    <w:p w14:paraId="47C0105C">
      <w:pPr>
        <w:spacing w:line="360" w:lineRule="auto"/>
        <w:ind w:firstLine="420" w:firstLineChars="200"/>
        <w:jc w:val="left"/>
        <w:rPr>
          <w:rFonts w:ascii="宋体" w:hAnsi="宋体" w:cs="宋体"/>
          <w:szCs w:val="21"/>
        </w:rPr>
      </w:pPr>
      <w:r>
        <w:rPr>
          <w:rFonts w:hint="eastAsia" w:ascii="宋体" w:hAnsi="宋体" w:cs="宋体"/>
          <w:szCs w:val="21"/>
        </w:rPr>
        <w:t>（1）本招标文件所称中小企业必须符合《政府采购促进中小企业发展管理办法》（财库〔2020〕46号）的规定。</w:t>
      </w:r>
    </w:p>
    <w:p w14:paraId="39750304">
      <w:pPr>
        <w:spacing w:line="360" w:lineRule="auto"/>
        <w:ind w:firstLine="420" w:firstLineChars="200"/>
        <w:jc w:val="left"/>
        <w:rPr>
          <w:rFonts w:ascii="宋体" w:hAnsi="宋体" w:cs="宋体"/>
          <w:szCs w:val="21"/>
        </w:rPr>
      </w:pPr>
      <w:r>
        <w:rPr>
          <w:rFonts w:hint="eastAsia" w:ascii="宋体" w:hAnsi="宋体" w:cs="宋体"/>
          <w:szCs w:val="21"/>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中提供所投标产品的节能产品认证证书扫描件（加盖投标人公章），</w:t>
      </w:r>
      <w:r>
        <w:rPr>
          <w:rFonts w:hint="eastAsia" w:ascii="宋体" w:hAnsi="宋体" w:cs="宋体"/>
          <w:b/>
          <w:bCs/>
          <w:szCs w:val="21"/>
        </w:rPr>
        <w:t>否则投标文件作无效处理</w:t>
      </w:r>
      <w:r>
        <w:rPr>
          <w:rFonts w:hint="eastAsia" w:ascii="宋体" w:hAnsi="宋体" w:cs="宋体"/>
          <w:szCs w:val="21"/>
        </w:rPr>
        <w:t>。</w:t>
      </w:r>
    </w:p>
    <w:p w14:paraId="5CB07C57">
      <w:pPr>
        <w:spacing w:line="360" w:lineRule="auto"/>
        <w:ind w:firstLine="420" w:firstLineChars="200"/>
        <w:jc w:val="left"/>
        <w:rPr>
          <w:highlight w:val="yellow"/>
        </w:rPr>
      </w:pPr>
      <w:r>
        <w:rPr>
          <w:rFonts w:hint="eastAsia"/>
        </w:rPr>
        <w:t>2.</w:t>
      </w:r>
      <w:r>
        <w:rPr>
          <w:rFonts w:hint="eastAsia" w:ascii="宋体" w:hAnsi="宋体" w:cs="宋体"/>
          <w:b/>
          <w:bCs/>
          <w:szCs w:val="21"/>
        </w:rPr>
        <w:t>“实质性要求”是指采购需求中带“</w:t>
      </w:r>
      <w:r>
        <w:rPr>
          <w:rFonts w:hint="eastAsia"/>
          <w:kern w:val="0"/>
        </w:rPr>
        <w:t>★</w:t>
      </w:r>
      <w:r>
        <w:rPr>
          <w:rFonts w:hint="eastAsia" w:ascii="宋体" w:hAnsi="宋体" w:cs="宋体"/>
          <w:b/>
          <w:bCs/>
          <w:szCs w:val="21"/>
        </w:rPr>
        <w:t>”的条款或者不能负偏离的条款或者已经指明不满足投标文件按无效处理的条款。标记“★”为实质性条款，不满足做无效投标处理；标记“</w:t>
      </w:r>
      <w:r>
        <w:rPr>
          <w:rFonts w:hint="eastAsia"/>
          <w:kern w:val="0"/>
        </w:rPr>
        <w:t>▲</w:t>
      </w:r>
      <w:r>
        <w:rPr>
          <w:rFonts w:hint="eastAsia" w:ascii="宋体" w:hAnsi="宋体" w:cs="宋体"/>
          <w:b/>
          <w:bCs/>
          <w:szCs w:val="21"/>
        </w:rPr>
        <w:t>”、“</w:t>
      </w:r>
      <w:r>
        <w:rPr>
          <w:rFonts w:hint="eastAsia" w:ascii="宋体" w:hAnsi="宋体" w:cs="宋体"/>
          <w:kern w:val="0"/>
          <w:szCs w:val="21"/>
        </w:rPr>
        <w:t>■</w:t>
      </w:r>
      <w:r>
        <w:rPr>
          <w:rFonts w:hint="eastAsia" w:ascii="宋体" w:hAnsi="宋体" w:cs="宋体"/>
          <w:b/>
          <w:bCs/>
          <w:szCs w:val="21"/>
        </w:rPr>
        <w:t>”号为重要要求，不满足仅作扣分处理。</w:t>
      </w:r>
    </w:p>
    <w:p w14:paraId="086B8E9D">
      <w:pPr>
        <w:spacing w:line="360" w:lineRule="auto"/>
        <w:ind w:firstLine="424" w:firstLineChars="202"/>
        <w:jc w:val="left"/>
        <w:rPr>
          <w:rFonts w:ascii="宋体" w:hAnsi="宋体" w:cs="宋体"/>
          <w:szCs w:val="21"/>
        </w:rPr>
      </w:pPr>
      <w:r>
        <w:rPr>
          <w:rFonts w:hint="eastAsia" w:ascii="宋体" w:hAnsi="宋体" w:cs="宋体"/>
          <w:szCs w:val="21"/>
        </w:rPr>
        <w:t>3.采购需求中出现的品牌、型号或者生产厂家仅起参考作用，不属于指定品牌、型号或者生产厂家的情形。投标人可参照或者选用其他相当的品牌、型号或者生产厂家替代，但选用的投标产品参数性能必须满足实质性要求。</w:t>
      </w:r>
    </w:p>
    <w:p w14:paraId="2900D5A5">
      <w:pPr>
        <w:spacing w:line="360" w:lineRule="auto"/>
        <w:ind w:firstLine="424" w:firstLineChars="202"/>
        <w:jc w:val="left"/>
        <w:rPr>
          <w:rFonts w:ascii="宋体" w:hAnsi="宋体" w:cs="宋体"/>
          <w:szCs w:val="21"/>
        </w:rPr>
      </w:pPr>
      <w:r>
        <w:rPr>
          <w:rFonts w:hint="eastAsia" w:ascii="宋体" w:hAnsi="宋体" w:cs="宋体"/>
          <w:szCs w:val="21"/>
        </w:rPr>
        <w:t>4.</w:t>
      </w:r>
      <w:r>
        <w:rPr>
          <w:rFonts w:hint="eastAsia" w:ascii="宋体" w:hAnsi="宋体"/>
          <w:b/>
          <w:bCs/>
          <w:szCs w:val="21"/>
        </w:rPr>
        <w:t>本项目采购需求表中要求提供的文件材料或承诺书，请在《技术偏离表》或《商务条款偏离表》中应答时，注明相关文件材料或承诺书放置的页码。</w:t>
      </w:r>
    </w:p>
    <w:p w14:paraId="5C309F29">
      <w:pPr>
        <w:spacing w:line="360" w:lineRule="auto"/>
        <w:ind w:firstLine="424" w:firstLineChars="202"/>
        <w:jc w:val="left"/>
        <w:rPr>
          <w:rFonts w:ascii="宋体" w:hAnsi="宋体" w:cs="宋体"/>
        </w:rPr>
      </w:pPr>
      <w:r>
        <w:rPr>
          <w:rFonts w:hint="eastAsia" w:ascii="宋体" w:hAnsi="宋体" w:cs="宋体"/>
          <w:szCs w:val="21"/>
        </w:rPr>
        <w:t>5.投标人必须对投标文件中提供的证明材料和资质文件真实性负责，如出现虚假应标情况，投标人除了应接受有关部门的处罚外，还应依据《中华人民共和国民法典》的相关条款来确定赔偿金额。</w:t>
      </w:r>
    </w:p>
    <w:p w14:paraId="620971DA">
      <w:pPr>
        <w:spacing w:line="360" w:lineRule="auto"/>
        <w:ind w:firstLine="424" w:firstLineChars="202"/>
        <w:jc w:val="left"/>
        <w:rPr>
          <w:rFonts w:hint="eastAsia" w:ascii="宋体" w:hAnsi="宋体" w:cs="宋体"/>
        </w:rPr>
      </w:pPr>
      <w:r>
        <w:rPr>
          <w:rFonts w:hint="eastAsia" w:ascii="宋体" w:hAnsi="宋体" w:cs="宋体"/>
        </w:rPr>
        <w:t>6.投标人应对投标内容所涉及的专利承担法律责任，并负责保护业主的利益不受任何损害。一切由于文字、商标、技术和软件专利授权引起的法律裁决、诉讼和赔偿费用均由中标人负责。</w:t>
      </w:r>
    </w:p>
    <w:p w14:paraId="13680AF9">
      <w:pPr>
        <w:spacing w:line="360" w:lineRule="auto"/>
        <w:ind w:firstLine="426" w:firstLineChars="202"/>
        <w:jc w:val="left"/>
        <w:rPr>
          <w:rFonts w:hint="default" w:ascii="宋体" w:hAnsi="宋体" w:eastAsia="宋体" w:cs="宋体"/>
          <w:lang w:val="en-US" w:eastAsia="zh-CN"/>
        </w:rPr>
      </w:pPr>
      <w:r>
        <w:rPr>
          <w:rFonts w:hint="eastAsia" w:ascii="宋体" w:hAnsi="宋体" w:cs="宋体"/>
          <w:b/>
          <w:bCs/>
          <w:lang w:val="en-US" w:eastAsia="zh-CN"/>
        </w:rPr>
        <w:t>7.投标人可以针对一个或者多个分标进行投标，标项一至标项三兼投不兼中，只能成为一个分标的第一中标候选人，其他分标不再成为中标候选人，标项一至标项三的推荐顺序按照标项一→标项二→标项三进行推荐。</w:t>
      </w:r>
    </w:p>
    <w:p w14:paraId="66E453D8">
      <w:pPr>
        <w:spacing w:after="120"/>
        <w:ind w:firstLine="420" w:firstLineChars="200"/>
        <w:rPr>
          <w:rFonts w:ascii="宋体" w:hAnsi="宋体" w:cs="宋体"/>
          <w:b/>
          <w:bCs/>
          <w:sz w:val="24"/>
        </w:rPr>
        <w:sectPr>
          <w:footerReference r:id="rId8" w:type="default"/>
          <w:pgSz w:w="11906" w:h="16838"/>
          <w:pgMar w:top="1134" w:right="1474" w:bottom="1134" w:left="1474" w:header="851" w:footer="851" w:gutter="0"/>
          <w:pgNumType w:start="1"/>
          <w:cols w:space="720" w:num="1"/>
          <w:docGrid w:linePitch="312" w:charSpace="0"/>
        </w:sectPr>
      </w:pPr>
      <w:r>
        <w:rPr>
          <w:rFonts w:hint="eastAsia" w:ascii="宋体" w:hAnsi="宋体"/>
          <w:szCs w:val="21"/>
          <w:lang w:val="en-US" w:eastAsia="zh-CN"/>
        </w:rPr>
        <w:t>8.</w:t>
      </w:r>
      <w:r>
        <w:rPr>
          <w:rFonts w:hint="eastAsia" w:ascii="宋体" w:hAnsi="宋体"/>
          <w:b/>
          <w:bCs/>
          <w:szCs w:val="21"/>
        </w:rPr>
        <w:t>本项目所属行业：</w:t>
      </w:r>
      <w:r>
        <w:rPr>
          <w:rFonts w:hint="eastAsia" w:ascii="宋体" w:hAnsi="宋体"/>
          <w:b/>
          <w:bCs/>
          <w:szCs w:val="21"/>
          <w:u w:val="single"/>
        </w:rPr>
        <w:t>工业</w:t>
      </w:r>
      <w:r>
        <w:rPr>
          <w:rFonts w:hint="eastAsia" w:ascii="宋体" w:hAnsi="宋体"/>
          <w:b/>
          <w:bCs/>
          <w:szCs w:val="21"/>
        </w:rPr>
        <w:t>。</w:t>
      </w:r>
    </w:p>
    <w:p w14:paraId="6A8A4939">
      <w:pPr>
        <w:spacing w:beforeLines="50" w:afterLines="50" w:line="360" w:lineRule="auto"/>
        <w:rPr>
          <w:rFonts w:ascii="宋体" w:hAnsi="宋体" w:cs="宋体"/>
          <w:b/>
          <w:bCs/>
          <w:sz w:val="24"/>
        </w:rPr>
      </w:pPr>
      <w:r>
        <w:rPr>
          <w:rFonts w:hint="eastAsia"/>
          <w:b/>
          <w:bCs/>
          <w:kern w:val="0"/>
          <w:sz w:val="24"/>
        </w:rPr>
        <w:t>标项一：</w:t>
      </w:r>
    </w:p>
    <w:tbl>
      <w:tblPr>
        <w:tblStyle w:val="26"/>
        <w:tblW w:w="10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1085"/>
        <w:gridCol w:w="737"/>
        <w:gridCol w:w="913"/>
        <w:gridCol w:w="7004"/>
      </w:tblGrid>
      <w:tr w14:paraId="1985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Align w:val="center"/>
          </w:tcPr>
          <w:p w14:paraId="50F492FA">
            <w:pPr>
              <w:jc w:val="center"/>
              <w:rPr>
                <w:rFonts w:ascii="宋体" w:hAnsi="宋体" w:cs="宋体"/>
                <w:b/>
                <w:bCs/>
                <w:szCs w:val="21"/>
              </w:rPr>
            </w:pPr>
            <w:r>
              <w:rPr>
                <w:rFonts w:hint="eastAsia" w:ascii="宋体" w:hAnsi="宋体" w:cs="宋体"/>
                <w:b/>
                <w:bCs/>
                <w:szCs w:val="21"/>
              </w:rPr>
              <w:t>序号</w:t>
            </w:r>
          </w:p>
        </w:tc>
        <w:tc>
          <w:tcPr>
            <w:tcW w:w="1085" w:type="dxa"/>
            <w:vAlign w:val="center"/>
          </w:tcPr>
          <w:p w14:paraId="50C6102E">
            <w:pPr>
              <w:jc w:val="center"/>
              <w:rPr>
                <w:rFonts w:ascii="宋体" w:hAnsi="宋体" w:cs="宋体"/>
                <w:b/>
                <w:bCs/>
                <w:szCs w:val="21"/>
              </w:rPr>
            </w:pPr>
            <w:r>
              <w:rPr>
                <w:rFonts w:hint="eastAsia" w:ascii="宋体" w:hAnsi="宋体" w:cs="宋体"/>
                <w:b/>
                <w:bCs/>
                <w:szCs w:val="21"/>
              </w:rPr>
              <w:t>货物/服务名称</w:t>
            </w:r>
          </w:p>
        </w:tc>
        <w:tc>
          <w:tcPr>
            <w:tcW w:w="737" w:type="dxa"/>
            <w:vAlign w:val="center"/>
          </w:tcPr>
          <w:p w14:paraId="541E09D1">
            <w:pPr>
              <w:jc w:val="center"/>
              <w:rPr>
                <w:rFonts w:ascii="宋体" w:hAnsi="宋体" w:cs="宋体"/>
                <w:b/>
                <w:bCs/>
                <w:szCs w:val="21"/>
              </w:rPr>
            </w:pPr>
            <w:r>
              <w:rPr>
                <w:rFonts w:hint="eastAsia" w:ascii="宋体" w:hAnsi="宋体" w:cs="宋体"/>
                <w:b/>
                <w:bCs/>
                <w:szCs w:val="21"/>
              </w:rPr>
              <w:t>数量</w:t>
            </w:r>
          </w:p>
        </w:tc>
        <w:tc>
          <w:tcPr>
            <w:tcW w:w="913" w:type="dxa"/>
            <w:vAlign w:val="center"/>
          </w:tcPr>
          <w:p w14:paraId="4C762B7A">
            <w:pPr>
              <w:jc w:val="center"/>
              <w:rPr>
                <w:rFonts w:ascii="宋体" w:hAnsi="宋体" w:cs="宋体"/>
                <w:b/>
                <w:bCs/>
                <w:szCs w:val="21"/>
              </w:rPr>
            </w:pPr>
            <w:r>
              <w:rPr>
                <w:rFonts w:hint="eastAsia" w:ascii="宋体" w:hAnsi="宋体" w:cs="宋体"/>
                <w:b/>
                <w:bCs/>
                <w:szCs w:val="21"/>
              </w:rPr>
              <w:t>计量</w:t>
            </w:r>
          </w:p>
          <w:p w14:paraId="396203DB">
            <w:pPr>
              <w:jc w:val="center"/>
              <w:rPr>
                <w:rFonts w:ascii="宋体" w:hAnsi="宋体" w:cs="宋体"/>
                <w:b/>
                <w:bCs/>
                <w:szCs w:val="21"/>
              </w:rPr>
            </w:pPr>
            <w:r>
              <w:rPr>
                <w:rFonts w:hint="eastAsia" w:ascii="宋体" w:hAnsi="宋体" w:cs="宋体"/>
                <w:b/>
                <w:bCs/>
                <w:szCs w:val="21"/>
              </w:rPr>
              <w:t>单位</w:t>
            </w:r>
          </w:p>
        </w:tc>
        <w:tc>
          <w:tcPr>
            <w:tcW w:w="7004" w:type="dxa"/>
            <w:vAlign w:val="center"/>
          </w:tcPr>
          <w:p w14:paraId="62ABCD2D">
            <w:pPr>
              <w:jc w:val="center"/>
              <w:rPr>
                <w:rFonts w:ascii="宋体" w:hAnsi="宋体" w:cs="宋体"/>
                <w:b/>
                <w:bCs/>
                <w:szCs w:val="21"/>
              </w:rPr>
            </w:pPr>
            <w:r>
              <w:rPr>
                <w:rFonts w:hint="eastAsia" w:ascii="宋体" w:hAnsi="宋体" w:cs="宋体"/>
                <w:b/>
                <w:bCs/>
                <w:szCs w:val="21"/>
              </w:rPr>
              <w:t>技术参数要求</w:t>
            </w:r>
          </w:p>
        </w:tc>
      </w:tr>
      <w:tr w14:paraId="3A1F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restart"/>
            <w:vAlign w:val="center"/>
          </w:tcPr>
          <w:p w14:paraId="17941F71">
            <w:pPr>
              <w:jc w:val="center"/>
              <w:rPr>
                <w:rFonts w:ascii="宋体" w:hAnsi="宋体" w:cs="宋体"/>
                <w:szCs w:val="21"/>
              </w:rPr>
            </w:pPr>
            <w:r>
              <w:rPr>
                <w:rFonts w:hint="eastAsia" w:ascii="宋体" w:hAnsi="宋体" w:cs="宋体"/>
                <w:szCs w:val="21"/>
              </w:rPr>
              <w:t>1</w:t>
            </w:r>
          </w:p>
        </w:tc>
        <w:tc>
          <w:tcPr>
            <w:tcW w:w="1085" w:type="dxa"/>
            <w:vMerge w:val="restart"/>
            <w:vAlign w:val="center"/>
          </w:tcPr>
          <w:p w14:paraId="0B246164">
            <w:pPr>
              <w:jc w:val="center"/>
              <w:rPr>
                <w:rFonts w:ascii="宋体" w:hAnsi="宋体" w:cs="宋体"/>
                <w:szCs w:val="21"/>
              </w:rPr>
            </w:pPr>
            <w:r>
              <w:rPr>
                <w:rFonts w:hint="eastAsia" w:ascii="宋体" w:hAnsi="宋体" w:cs="宋体"/>
                <w:b/>
                <w:bCs/>
                <w:szCs w:val="21"/>
              </w:rPr>
              <w:t>实验室废弃物暂存柜采购</w:t>
            </w:r>
          </w:p>
        </w:tc>
        <w:tc>
          <w:tcPr>
            <w:tcW w:w="737" w:type="dxa"/>
            <w:vMerge w:val="restart"/>
            <w:vAlign w:val="center"/>
          </w:tcPr>
          <w:p w14:paraId="42BEB7B9">
            <w:pPr>
              <w:jc w:val="center"/>
              <w:rPr>
                <w:rFonts w:ascii="宋体" w:hAnsi="宋体" w:cs="宋体"/>
                <w:szCs w:val="21"/>
              </w:rPr>
            </w:pPr>
            <w:r>
              <w:rPr>
                <w:rFonts w:hint="eastAsia" w:ascii="宋体" w:hAnsi="宋体" w:cs="宋体"/>
                <w:szCs w:val="21"/>
              </w:rPr>
              <w:t>1</w:t>
            </w:r>
          </w:p>
        </w:tc>
        <w:tc>
          <w:tcPr>
            <w:tcW w:w="913" w:type="dxa"/>
            <w:vMerge w:val="restart"/>
            <w:vAlign w:val="center"/>
          </w:tcPr>
          <w:p w14:paraId="15AB6041">
            <w:pPr>
              <w:jc w:val="center"/>
              <w:rPr>
                <w:rFonts w:ascii="宋体" w:hAnsi="宋体" w:cs="宋体"/>
                <w:szCs w:val="21"/>
              </w:rPr>
            </w:pPr>
            <w:r>
              <w:rPr>
                <w:rFonts w:hint="eastAsia" w:ascii="宋体" w:hAnsi="宋体" w:cs="宋体"/>
                <w:szCs w:val="21"/>
              </w:rPr>
              <w:t>套</w:t>
            </w:r>
          </w:p>
        </w:tc>
        <w:tc>
          <w:tcPr>
            <w:tcW w:w="7004" w:type="dxa"/>
          </w:tcPr>
          <w:p w14:paraId="3B4A2D51">
            <w:pPr>
              <w:rPr>
                <w:rFonts w:ascii="宋体" w:hAnsi="宋体" w:cs="宋体"/>
                <w:szCs w:val="21"/>
              </w:rPr>
            </w:pPr>
            <w:r>
              <w:rPr>
                <w:rFonts w:hint="eastAsia" w:ascii="宋体" w:hAnsi="宋体" w:cs="宋体"/>
                <w:b/>
                <w:bCs/>
                <w:szCs w:val="21"/>
              </w:rPr>
              <w:t>1、柜体</w:t>
            </w:r>
          </w:p>
        </w:tc>
      </w:tr>
      <w:tr w14:paraId="352E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0" w:hRule="atLeast"/>
          <w:jc w:val="center"/>
        </w:trPr>
        <w:tc>
          <w:tcPr>
            <w:tcW w:w="438" w:type="dxa"/>
            <w:vMerge w:val="continue"/>
            <w:vAlign w:val="center"/>
          </w:tcPr>
          <w:p w14:paraId="585BB997">
            <w:pPr>
              <w:jc w:val="center"/>
              <w:rPr>
                <w:rFonts w:ascii="宋体" w:hAnsi="宋体" w:cs="宋体"/>
                <w:szCs w:val="21"/>
              </w:rPr>
            </w:pPr>
          </w:p>
        </w:tc>
        <w:tc>
          <w:tcPr>
            <w:tcW w:w="1085" w:type="dxa"/>
            <w:vMerge w:val="continue"/>
            <w:vAlign w:val="center"/>
          </w:tcPr>
          <w:p w14:paraId="43609F1E">
            <w:pPr>
              <w:jc w:val="center"/>
              <w:rPr>
                <w:rFonts w:ascii="宋体" w:hAnsi="宋体" w:cs="宋体"/>
                <w:szCs w:val="21"/>
              </w:rPr>
            </w:pPr>
          </w:p>
        </w:tc>
        <w:tc>
          <w:tcPr>
            <w:tcW w:w="737" w:type="dxa"/>
            <w:vMerge w:val="continue"/>
            <w:vAlign w:val="center"/>
          </w:tcPr>
          <w:p w14:paraId="283333E3">
            <w:pPr>
              <w:jc w:val="center"/>
              <w:rPr>
                <w:rFonts w:ascii="宋体" w:hAnsi="宋体" w:cs="宋体"/>
                <w:szCs w:val="21"/>
              </w:rPr>
            </w:pPr>
          </w:p>
        </w:tc>
        <w:tc>
          <w:tcPr>
            <w:tcW w:w="913" w:type="dxa"/>
            <w:vMerge w:val="continue"/>
            <w:vAlign w:val="center"/>
          </w:tcPr>
          <w:p w14:paraId="588A3568">
            <w:pPr>
              <w:jc w:val="center"/>
              <w:rPr>
                <w:rFonts w:ascii="宋体" w:hAnsi="宋体" w:cs="宋体"/>
                <w:szCs w:val="21"/>
              </w:rPr>
            </w:pPr>
          </w:p>
        </w:tc>
        <w:tc>
          <w:tcPr>
            <w:tcW w:w="7004" w:type="dxa"/>
          </w:tcPr>
          <w:p w14:paraId="3250EB17">
            <w:pPr>
              <w:rPr>
                <w:rFonts w:ascii="宋体" w:hAnsi="宋体" w:cs="宋体"/>
                <w:szCs w:val="21"/>
              </w:rPr>
            </w:pPr>
            <w:r>
              <w:rPr>
                <w:rFonts w:hint="eastAsia" w:ascii="宋体" w:hAnsi="宋体" w:cs="宋体"/>
                <w:szCs w:val="21"/>
              </w:rPr>
              <w:t>1.1规格要求（L*W*H）：18000mm*2500mm*3000mm±5%，外形尺寸为标准集装箱尺寸，方便移动运输；柜体框架主要为corten A钢板，柜体具有防腐功能。外柜体整体材质采用corten A钢质，由框架、垂直波纹的侧板和端面、全部横向的垂直波纹顶板构成；均使用经过预处理的热轧板钢板，钢板厚度不小于2.0mm；箱体8个角采用标准ISO角件。柜体外部整体喷涂防锈油漆，内墙壁涂覆防腐油漆；全柜整体具有防腐能力。</w:t>
            </w:r>
          </w:p>
          <w:p w14:paraId="7D3501AA">
            <w:pPr>
              <w:rPr>
                <w:rFonts w:ascii="宋体" w:hAnsi="宋体" w:cs="宋体"/>
                <w:szCs w:val="21"/>
              </w:rPr>
            </w:pPr>
            <w:r>
              <w:rPr>
                <w:rFonts w:hint="eastAsia" w:ascii="宋体" w:hAnsi="宋体" w:cs="宋体"/>
                <w:szCs w:val="21"/>
              </w:rPr>
              <w:t>1.2柜体设有紧急逃生门，门向疏散方向开启，疏散门开启时，门扇不应影响疏散走道和平台的宽度。疏散门严禁上锁。逃生门装置自动门闩，保证内部人员随时可以推动把手或依靠人力把门开启。</w:t>
            </w:r>
          </w:p>
          <w:p w14:paraId="6DFAE32D">
            <w:pPr>
              <w:rPr>
                <w:rFonts w:ascii="宋体" w:hAnsi="宋体" w:cs="宋体"/>
                <w:szCs w:val="21"/>
              </w:rPr>
            </w:pPr>
            <w:r>
              <w:rPr>
                <w:rFonts w:hint="eastAsia" w:ascii="宋体" w:hAnsi="宋体" w:cs="宋体"/>
                <w:szCs w:val="21"/>
              </w:rPr>
              <w:t>1.3</w:t>
            </w:r>
            <w:r>
              <w:rPr>
                <w:rFonts w:hint="eastAsia" w:ascii="宋体" w:hAnsi="宋体" w:cs="宋体"/>
                <w:szCs w:val="21"/>
              </w:rPr>
              <w:tab/>
            </w:r>
            <w:r>
              <w:rPr>
                <w:rFonts w:hint="eastAsia" w:ascii="宋体" w:hAnsi="宋体" w:cs="宋体"/>
                <w:szCs w:val="21"/>
              </w:rPr>
              <w:t>柜体两侧各开多个通风百叶窗，百叶窗内部增加防虫鼠网，通风装置的材料为不可燃或阻燃材质。</w:t>
            </w:r>
          </w:p>
          <w:p w14:paraId="3F5591DE">
            <w:pPr>
              <w:rPr>
                <w:rFonts w:ascii="宋体" w:hAnsi="宋体" w:cs="宋体"/>
                <w:szCs w:val="21"/>
              </w:rPr>
            </w:pPr>
            <w:r>
              <w:rPr>
                <w:rFonts w:hint="eastAsia" w:ascii="宋体" w:hAnsi="宋体" w:cs="宋体"/>
                <w:szCs w:val="21"/>
              </w:rPr>
              <w:t>1.4</w:t>
            </w:r>
            <w:r>
              <w:rPr>
                <w:rFonts w:hint="eastAsia" w:ascii="宋体" w:hAnsi="宋体" w:cs="宋体"/>
                <w:szCs w:val="21"/>
              </w:rPr>
              <w:tab/>
            </w:r>
            <w:r>
              <w:rPr>
                <w:rFonts w:hint="eastAsia" w:ascii="宋体" w:hAnsi="宋体" w:cs="宋体"/>
                <w:szCs w:val="21"/>
              </w:rPr>
              <w:t>柜体为双层保温结构,柜体内壁使用A级防火隔热，隔热层厚度≥50mm；密度不低于128kg/m³的保温阻燃陶瓷纤维或耐火隔热性能不低于该参数要求的其它耐火隔热材料。</w:t>
            </w:r>
          </w:p>
          <w:p w14:paraId="12F239A7">
            <w:pPr>
              <w:rPr>
                <w:rFonts w:ascii="宋体" w:hAnsi="宋体" w:cs="宋体"/>
                <w:szCs w:val="21"/>
              </w:rPr>
            </w:pPr>
            <w:r>
              <w:rPr>
                <w:rFonts w:hint="eastAsia" w:ascii="宋体" w:hAnsi="宋体" w:cs="宋体"/>
                <w:szCs w:val="21"/>
              </w:rPr>
              <w:t>1.5</w:t>
            </w:r>
            <w:r>
              <w:rPr>
                <w:rFonts w:hint="eastAsia" w:ascii="宋体" w:hAnsi="宋体" w:cs="宋体"/>
                <w:szCs w:val="21"/>
              </w:rPr>
              <w:tab/>
            </w:r>
            <w:r>
              <w:rPr>
                <w:rFonts w:hint="eastAsia" w:ascii="宋体" w:hAnsi="宋体" w:cs="宋体"/>
                <w:szCs w:val="21"/>
              </w:rPr>
              <w:t>柜体内部地板采用整体式防腐地胶板。</w:t>
            </w:r>
          </w:p>
          <w:p w14:paraId="18040939">
            <w:pPr>
              <w:rPr>
                <w:rFonts w:ascii="宋体" w:hAnsi="宋体" w:cs="宋体"/>
                <w:szCs w:val="21"/>
              </w:rPr>
            </w:pPr>
            <w:r>
              <w:rPr>
                <w:rFonts w:hint="eastAsia" w:ascii="宋体" w:hAnsi="宋体" w:cs="宋体"/>
                <w:szCs w:val="21"/>
              </w:rPr>
              <w:t>1.6</w:t>
            </w:r>
            <w:r>
              <w:rPr>
                <w:rFonts w:hint="eastAsia" w:ascii="宋体" w:hAnsi="宋体" w:cs="宋体"/>
                <w:szCs w:val="21"/>
              </w:rPr>
              <w:tab/>
            </w:r>
            <w:r>
              <w:rPr>
                <w:rFonts w:hint="eastAsia" w:ascii="宋体" w:hAnsi="宋体" w:cs="宋体"/>
                <w:szCs w:val="21"/>
              </w:rPr>
              <w:t>柜体具有泄压设施或泄压点，泄压面积应≥0.110 ㎡/m³。</w:t>
            </w:r>
          </w:p>
          <w:p w14:paraId="7987B1BD">
            <w:pPr>
              <w:rPr>
                <w:rFonts w:ascii="宋体" w:hAnsi="宋体" w:cs="宋体"/>
                <w:szCs w:val="21"/>
              </w:rPr>
            </w:pPr>
            <w:r>
              <w:rPr>
                <w:rFonts w:hint="eastAsia" w:ascii="宋体" w:hAnsi="宋体" w:cs="宋体"/>
                <w:szCs w:val="21"/>
              </w:rPr>
              <w:t>1.7柜体所有门窗开合部分采取有效措施排除因开关时摩擦碰撞可能产生的火花。</w:t>
            </w:r>
          </w:p>
          <w:p w14:paraId="6099BA1A">
            <w:pPr>
              <w:rPr>
                <w:rFonts w:ascii="宋体" w:hAnsi="宋体" w:cs="宋体"/>
                <w:szCs w:val="21"/>
              </w:rPr>
            </w:pPr>
            <w:r>
              <w:rPr>
                <w:rFonts w:hint="eastAsia" w:ascii="宋体" w:hAnsi="宋体" w:cs="宋体"/>
                <w:szCs w:val="21"/>
              </w:rPr>
              <w:t>1.8废液暂存间底部为钢制防滑印花踏板，内部地面向中部轻微倾斜设计，倾斜度为千分之3～千分之5，中间设有漏液集水槽，漏液可沿格栅流进集液槽；再由PP漏液管流到废水（液）收集池内的PP材质废液收集桶中进行废水（液）收集并可导出。当漏液排入漏液收集槽中的漏液桶容量达到70%时，可及时联动报警。探头精准度不低于0.5级，防护等级不低于IP68。</w:t>
            </w:r>
          </w:p>
        </w:tc>
      </w:tr>
      <w:tr w14:paraId="7C47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11583FEA">
            <w:pPr>
              <w:rPr>
                <w:rFonts w:ascii="宋体" w:hAnsi="宋体" w:cs="宋体"/>
                <w:b/>
                <w:bCs/>
                <w:szCs w:val="21"/>
              </w:rPr>
            </w:pPr>
          </w:p>
        </w:tc>
        <w:tc>
          <w:tcPr>
            <w:tcW w:w="1085" w:type="dxa"/>
            <w:vMerge w:val="continue"/>
          </w:tcPr>
          <w:p w14:paraId="29CADA0B">
            <w:pPr>
              <w:rPr>
                <w:rFonts w:ascii="宋体" w:hAnsi="宋体" w:cs="宋体"/>
                <w:b/>
                <w:bCs/>
                <w:szCs w:val="21"/>
              </w:rPr>
            </w:pPr>
          </w:p>
        </w:tc>
        <w:tc>
          <w:tcPr>
            <w:tcW w:w="737" w:type="dxa"/>
            <w:vMerge w:val="continue"/>
          </w:tcPr>
          <w:p w14:paraId="4DD67434">
            <w:pPr>
              <w:rPr>
                <w:rFonts w:ascii="宋体" w:hAnsi="宋体" w:cs="宋体"/>
                <w:b/>
                <w:bCs/>
                <w:szCs w:val="21"/>
              </w:rPr>
            </w:pPr>
          </w:p>
        </w:tc>
        <w:tc>
          <w:tcPr>
            <w:tcW w:w="913" w:type="dxa"/>
            <w:vMerge w:val="continue"/>
          </w:tcPr>
          <w:p w14:paraId="6EF90EBB">
            <w:pPr>
              <w:rPr>
                <w:rFonts w:ascii="宋体" w:hAnsi="宋体" w:cs="宋体"/>
                <w:b/>
                <w:bCs/>
                <w:szCs w:val="21"/>
              </w:rPr>
            </w:pPr>
          </w:p>
        </w:tc>
        <w:tc>
          <w:tcPr>
            <w:tcW w:w="7004" w:type="dxa"/>
          </w:tcPr>
          <w:p w14:paraId="71AB26A7">
            <w:pPr>
              <w:rPr>
                <w:rFonts w:ascii="宋体" w:hAnsi="宋体" w:cs="宋体"/>
                <w:szCs w:val="21"/>
              </w:rPr>
            </w:pPr>
            <w:r>
              <w:rPr>
                <w:rFonts w:hint="eastAsia" w:ascii="宋体" w:hAnsi="宋体" w:cs="宋体"/>
                <w:b/>
                <w:bCs/>
                <w:szCs w:val="21"/>
              </w:rPr>
              <w:t>2、内部储存（内部空间可自行调整）</w:t>
            </w:r>
          </w:p>
        </w:tc>
      </w:tr>
      <w:tr w14:paraId="4D3F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438" w:type="dxa"/>
            <w:vMerge w:val="continue"/>
          </w:tcPr>
          <w:p w14:paraId="55F18C74">
            <w:pPr>
              <w:rPr>
                <w:rFonts w:ascii="宋体" w:hAnsi="宋体" w:cs="宋体"/>
                <w:szCs w:val="21"/>
              </w:rPr>
            </w:pPr>
          </w:p>
        </w:tc>
        <w:tc>
          <w:tcPr>
            <w:tcW w:w="1085" w:type="dxa"/>
            <w:vMerge w:val="continue"/>
          </w:tcPr>
          <w:p w14:paraId="50E3E53C">
            <w:pPr>
              <w:rPr>
                <w:rFonts w:ascii="宋体" w:hAnsi="宋体" w:cs="宋体"/>
                <w:szCs w:val="21"/>
              </w:rPr>
            </w:pPr>
          </w:p>
        </w:tc>
        <w:tc>
          <w:tcPr>
            <w:tcW w:w="737" w:type="dxa"/>
            <w:vMerge w:val="continue"/>
          </w:tcPr>
          <w:p w14:paraId="3D8B04F2">
            <w:pPr>
              <w:rPr>
                <w:rFonts w:ascii="宋体" w:hAnsi="宋体" w:cs="宋体"/>
                <w:szCs w:val="21"/>
              </w:rPr>
            </w:pPr>
          </w:p>
        </w:tc>
        <w:tc>
          <w:tcPr>
            <w:tcW w:w="913" w:type="dxa"/>
            <w:vMerge w:val="continue"/>
          </w:tcPr>
          <w:p w14:paraId="3B3EEED9">
            <w:pPr>
              <w:rPr>
                <w:rFonts w:ascii="宋体" w:hAnsi="宋体" w:cs="宋体"/>
                <w:szCs w:val="21"/>
              </w:rPr>
            </w:pPr>
          </w:p>
        </w:tc>
        <w:tc>
          <w:tcPr>
            <w:tcW w:w="7004" w:type="dxa"/>
          </w:tcPr>
          <w:p w14:paraId="6D1843C1">
            <w:pPr>
              <w:rPr>
                <w:rFonts w:ascii="宋体" w:hAnsi="宋体" w:cs="宋体"/>
                <w:szCs w:val="21"/>
              </w:rPr>
            </w:pPr>
            <w:r>
              <w:rPr>
                <w:rFonts w:hint="eastAsia" w:ascii="宋体" w:hAnsi="宋体" w:cs="宋体"/>
                <w:szCs w:val="21"/>
              </w:rPr>
              <w:t>2.1货架（22组）：</w:t>
            </w:r>
          </w:p>
          <w:p w14:paraId="0D09D4B5">
            <w:pPr>
              <w:rPr>
                <w:rFonts w:ascii="宋体" w:hAnsi="宋体" w:cs="宋体"/>
                <w:szCs w:val="21"/>
              </w:rPr>
            </w:pPr>
            <w:r>
              <w:rPr>
                <w:rFonts w:hint="eastAsia" w:ascii="宋体" w:hAnsi="宋体" w:cs="宋体"/>
                <w:szCs w:val="21"/>
              </w:rPr>
              <w:t>货架规格(长x宽x高)1200mm×600mm×1650mm，组合式安装；</w:t>
            </w:r>
          </w:p>
          <w:p w14:paraId="59F27CCB">
            <w:pPr>
              <w:rPr>
                <w:rFonts w:ascii="宋体" w:hAnsi="宋体" w:cs="宋体"/>
                <w:szCs w:val="21"/>
              </w:rPr>
            </w:pPr>
            <w:r>
              <w:rPr>
                <w:rFonts w:hint="eastAsia" w:ascii="宋体" w:hAnsi="宋体" w:cs="宋体"/>
                <w:szCs w:val="21"/>
              </w:rPr>
              <w:t>2.1.1货架分为三层，每层承重≥300Kg;金属部件连接处经过静电处理，每层有可拆卸防倒护栏，于</w:t>
            </w:r>
            <w:r>
              <w:rPr>
                <w:rFonts w:hint="eastAsia" w:ascii="宋体" w:hAnsi="宋体" w:cs="宋体"/>
                <w:szCs w:val="21"/>
                <w:lang w:val="en-US" w:eastAsia="zh-CN"/>
              </w:rPr>
              <w:t>投标</w:t>
            </w:r>
            <w:r>
              <w:rPr>
                <w:rFonts w:hint="eastAsia" w:ascii="宋体" w:hAnsi="宋体" w:cs="宋体"/>
                <w:szCs w:val="21"/>
              </w:rPr>
              <w:t>文件中提供承重检测报告复印件；</w:t>
            </w:r>
          </w:p>
          <w:p w14:paraId="45751DD0">
            <w:pPr>
              <w:rPr>
                <w:rFonts w:ascii="宋体" w:hAnsi="宋体" w:cs="宋体"/>
                <w:szCs w:val="21"/>
              </w:rPr>
            </w:pPr>
            <w:r>
              <w:rPr>
                <w:rFonts w:hint="eastAsia" w:ascii="宋体" w:hAnsi="宋体" w:cs="宋体"/>
                <w:szCs w:val="21"/>
              </w:rPr>
              <w:t>2.2耐腐蚀全PP储存柜（2组）：</w:t>
            </w:r>
          </w:p>
          <w:p w14:paraId="655BBC60">
            <w:pPr>
              <w:rPr>
                <w:rFonts w:ascii="宋体" w:hAnsi="宋体" w:cs="宋体"/>
                <w:szCs w:val="21"/>
              </w:rPr>
            </w:pPr>
            <w:r>
              <w:rPr>
                <w:rFonts w:hint="eastAsia" w:ascii="宋体" w:hAnsi="宋体" w:cs="宋体"/>
                <w:szCs w:val="21"/>
              </w:rPr>
              <w:t>尺寸为(长x宽x高)950mm x 450mmx1800mm；</w:t>
            </w:r>
          </w:p>
          <w:p w14:paraId="71B47D5D">
            <w:pPr>
              <w:rPr>
                <w:rFonts w:ascii="宋体" w:hAnsi="宋体" w:cs="宋体"/>
                <w:szCs w:val="21"/>
              </w:rPr>
            </w:pPr>
            <w:r>
              <w:rPr>
                <w:rFonts w:hint="eastAsia" w:ascii="宋体" w:hAnsi="宋体" w:cs="宋体"/>
                <w:szCs w:val="21"/>
              </w:rPr>
              <w:t>2.2.1 PP储存柜主体材料为白色PP防火板折弯或焊接而成，单层承重不低于80Kg；</w:t>
            </w:r>
          </w:p>
          <w:p w14:paraId="67A9DA99">
            <w:pPr>
              <w:rPr>
                <w:rFonts w:ascii="宋体" w:hAnsi="宋体" w:cs="宋体"/>
                <w:szCs w:val="21"/>
              </w:rPr>
            </w:pPr>
            <w:r>
              <w:rPr>
                <w:rFonts w:hint="eastAsia" w:ascii="宋体" w:hAnsi="宋体" w:cs="宋体"/>
                <w:szCs w:val="21"/>
              </w:rPr>
              <w:t>2.2.2柜顶部设有排风口，柜体底部设有进风口；</w:t>
            </w:r>
          </w:p>
          <w:p w14:paraId="0FDCD084">
            <w:pPr>
              <w:rPr>
                <w:rFonts w:ascii="宋体" w:hAnsi="宋体" w:cs="宋体"/>
                <w:szCs w:val="21"/>
              </w:rPr>
            </w:pPr>
            <w:r>
              <w:rPr>
                <w:rFonts w:hint="eastAsia" w:ascii="Calibri" w:hAnsi="Calibri"/>
                <w:kern w:val="0"/>
              </w:rPr>
              <w:t>▲</w:t>
            </w:r>
            <w:r>
              <w:rPr>
                <w:rFonts w:hint="eastAsia" w:ascii="宋体" w:hAnsi="宋体" w:cs="宋体"/>
                <w:szCs w:val="21"/>
              </w:rPr>
              <w:t>2.2.3 PP防火板具有热变形温度、维卡软化温度检测报告；</w:t>
            </w:r>
          </w:p>
          <w:p w14:paraId="24301D86">
            <w:pPr>
              <w:rPr>
                <w:rFonts w:ascii="宋体" w:hAnsi="宋体" w:cs="宋体"/>
                <w:szCs w:val="21"/>
              </w:rPr>
            </w:pPr>
            <w:r>
              <w:rPr>
                <w:rFonts w:hint="eastAsia" w:ascii="宋体" w:hAnsi="宋体" w:cs="宋体"/>
                <w:b/>
                <w:bCs/>
                <w:szCs w:val="21"/>
              </w:rPr>
              <w:t>PP 板材须提供经 CMA 计量认证或CNAS 实验室认可第三方检测机构出具的材质检测报告复印件（报告须加盖 CMA或CNAS 专用章）。按国标或 ISO 国际标准开展检测，检测机构须提供对应检测标准的资质证明文件（认证证书附件或认可官网查询截图）。负荷变形温度不低于 160℃，按 GB/T 1634.1-2025、GB/T 1634.2-2019（对应 ISO 75-1:2020、ISO 75-2:2013）方法检测；维卡软化温度不低于 180℃，按 GB/T 1633-2025（对应 ISO 306:2022）方法检测。相关佐证供货时原件备查。</w:t>
            </w:r>
          </w:p>
          <w:p w14:paraId="35F515AA">
            <w:pPr>
              <w:rPr>
                <w:rFonts w:ascii="宋体" w:hAnsi="宋体" w:cs="宋体"/>
                <w:szCs w:val="21"/>
              </w:rPr>
            </w:pPr>
            <w:r>
              <w:rPr>
                <w:rFonts w:hint="eastAsia" w:ascii="宋体" w:hAnsi="宋体" w:cs="宋体"/>
                <w:szCs w:val="21"/>
              </w:rPr>
              <w:t>2.3防爆安全柜（4组）</w:t>
            </w:r>
          </w:p>
          <w:p w14:paraId="001C9054">
            <w:pPr>
              <w:rPr>
                <w:rFonts w:ascii="宋体" w:hAnsi="宋体" w:cs="宋体"/>
                <w:szCs w:val="21"/>
              </w:rPr>
            </w:pPr>
            <w:r>
              <w:rPr>
                <w:rFonts w:hint="eastAsia" w:ascii="宋体" w:hAnsi="宋体" w:cs="宋体"/>
                <w:szCs w:val="21"/>
              </w:rPr>
              <w:t>2.3.1规格(长x宽x高)1090mm×860mm×1650mm</w:t>
            </w:r>
          </w:p>
          <w:p w14:paraId="32954127">
            <w:pPr>
              <w:rPr>
                <w:rFonts w:ascii="宋体" w:hAnsi="宋体" w:cs="宋体"/>
                <w:szCs w:val="21"/>
              </w:rPr>
            </w:pPr>
            <w:r>
              <w:rPr>
                <w:rFonts w:hint="eastAsia" w:ascii="宋体" w:hAnsi="宋体" w:cs="宋体"/>
                <w:szCs w:val="21"/>
              </w:rPr>
              <w:t>2.3.2采用优质冷轧钢板，柜外壳体采用≥1.0mm的冷轧钢板，柜内贴PP内胆，具有防火防爆、防腐蚀耐酸碱功能；</w:t>
            </w:r>
            <w:r>
              <w:rPr>
                <w:rFonts w:hint="eastAsia" w:ascii="宋体" w:hAnsi="宋体" w:cs="宋体"/>
                <w:szCs w:val="21"/>
              </w:rPr>
              <w:tab/>
            </w:r>
          </w:p>
          <w:p w14:paraId="7F57C697">
            <w:pPr>
              <w:rPr>
                <w:rFonts w:ascii="宋体" w:hAnsi="宋体" w:cs="宋体"/>
                <w:szCs w:val="21"/>
              </w:rPr>
            </w:pPr>
            <w:r>
              <w:rPr>
                <w:rFonts w:hint="eastAsia" w:ascii="宋体" w:hAnsi="宋体" w:cs="宋体"/>
                <w:szCs w:val="21"/>
              </w:rPr>
              <w:t>2.3.3柜体内部配有3层以上托盘式活动隔板：柜体底层配有防溢槽，防腐蚀，防液漏；</w:t>
            </w:r>
          </w:p>
          <w:p w14:paraId="1966573D">
            <w:pPr>
              <w:rPr>
                <w:rFonts w:ascii="宋体" w:hAnsi="宋体" w:cs="宋体"/>
                <w:szCs w:val="21"/>
              </w:rPr>
            </w:pPr>
            <w:r>
              <w:rPr>
                <w:rFonts w:hint="eastAsia" w:ascii="宋体" w:hAnsi="宋体" w:cs="宋体"/>
                <w:szCs w:val="21"/>
              </w:rPr>
              <w:t>2.3.4柜双机械锁，符合GA/75标准。</w:t>
            </w:r>
          </w:p>
        </w:tc>
      </w:tr>
      <w:tr w14:paraId="34DC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525006E5">
            <w:pPr>
              <w:rPr>
                <w:rFonts w:ascii="宋体" w:hAnsi="宋体" w:cs="宋体"/>
                <w:b/>
                <w:bCs/>
                <w:szCs w:val="21"/>
              </w:rPr>
            </w:pPr>
          </w:p>
        </w:tc>
        <w:tc>
          <w:tcPr>
            <w:tcW w:w="1085" w:type="dxa"/>
            <w:vMerge w:val="continue"/>
          </w:tcPr>
          <w:p w14:paraId="2327F55F">
            <w:pPr>
              <w:rPr>
                <w:rFonts w:ascii="宋体" w:hAnsi="宋体" w:cs="宋体"/>
                <w:b/>
                <w:bCs/>
                <w:szCs w:val="21"/>
              </w:rPr>
            </w:pPr>
          </w:p>
        </w:tc>
        <w:tc>
          <w:tcPr>
            <w:tcW w:w="737" w:type="dxa"/>
            <w:vMerge w:val="continue"/>
          </w:tcPr>
          <w:p w14:paraId="7FFF3B9C">
            <w:pPr>
              <w:rPr>
                <w:rFonts w:ascii="宋体" w:hAnsi="宋体" w:cs="宋体"/>
                <w:b/>
                <w:bCs/>
                <w:szCs w:val="21"/>
              </w:rPr>
            </w:pPr>
          </w:p>
        </w:tc>
        <w:tc>
          <w:tcPr>
            <w:tcW w:w="913" w:type="dxa"/>
            <w:vMerge w:val="continue"/>
          </w:tcPr>
          <w:p w14:paraId="76F2A33F">
            <w:pPr>
              <w:rPr>
                <w:rFonts w:ascii="宋体" w:hAnsi="宋体" w:cs="宋体"/>
                <w:b/>
                <w:bCs/>
                <w:szCs w:val="21"/>
              </w:rPr>
            </w:pPr>
          </w:p>
        </w:tc>
        <w:tc>
          <w:tcPr>
            <w:tcW w:w="7004" w:type="dxa"/>
          </w:tcPr>
          <w:p w14:paraId="3E58AD11">
            <w:pPr>
              <w:rPr>
                <w:rFonts w:ascii="宋体" w:hAnsi="宋体" w:cs="宋体"/>
                <w:szCs w:val="21"/>
              </w:rPr>
            </w:pPr>
            <w:r>
              <w:rPr>
                <w:rFonts w:hint="eastAsia" w:ascii="宋体" w:hAnsi="宋体" w:cs="宋体"/>
                <w:b/>
                <w:bCs/>
                <w:szCs w:val="21"/>
              </w:rPr>
              <w:t>3、智能控制系统</w:t>
            </w:r>
          </w:p>
        </w:tc>
      </w:tr>
      <w:tr w14:paraId="33B4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8" w:type="dxa"/>
            <w:vMerge w:val="continue"/>
          </w:tcPr>
          <w:p w14:paraId="181B8AC3">
            <w:pPr>
              <w:rPr>
                <w:rFonts w:ascii="宋体" w:hAnsi="宋体" w:cs="宋体"/>
                <w:szCs w:val="21"/>
              </w:rPr>
            </w:pPr>
          </w:p>
        </w:tc>
        <w:tc>
          <w:tcPr>
            <w:tcW w:w="1085" w:type="dxa"/>
            <w:vMerge w:val="continue"/>
          </w:tcPr>
          <w:p w14:paraId="2CDF65F5">
            <w:pPr>
              <w:rPr>
                <w:rFonts w:ascii="宋体" w:hAnsi="宋体" w:cs="宋体"/>
                <w:szCs w:val="21"/>
              </w:rPr>
            </w:pPr>
          </w:p>
        </w:tc>
        <w:tc>
          <w:tcPr>
            <w:tcW w:w="737" w:type="dxa"/>
            <w:vMerge w:val="continue"/>
          </w:tcPr>
          <w:p w14:paraId="7FAC9E90">
            <w:pPr>
              <w:rPr>
                <w:rFonts w:ascii="宋体" w:hAnsi="宋体" w:cs="宋体"/>
                <w:szCs w:val="21"/>
              </w:rPr>
            </w:pPr>
          </w:p>
        </w:tc>
        <w:tc>
          <w:tcPr>
            <w:tcW w:w="913" w:type="dxa"/>
            <w:vMerge w:val="continue"/>
          </w:tcPr>
          <w:p w14:paraId="1C089E94">
            <w:pPr>
              <w:rPr>
                <w:rFonts w:ascii="宋体" w:hAnsi="宋体" w:cs="宋体"/>
                <w:szCs w:val="21"/>
              </w:rPr>
            </w:pPr>
          </w:p>
        </w:tc>
        <w:tc>
          <w:tcPr>
            <w:tcW w:w="7004" w:type="dxa"/>
          </w:tcPr>
          <w:p w14:paraId="52E83748">
            <w:pPr>
              <w:rPr>
                <w:rFonts w:ascii="宋体" w:hAnsi="宋体" w:cs="宋体"/>
                <w:szCs w:val="21"/>
              </w:rPr>
            </w:pPr>
            <w:r>
              <w:rPr>
                <w:rFonts w:hint="eastAsia" w:ascii="宋体" w:hAnsi="宋体" w:cs="宋体"/>
                <w:szCs w:val="21"/>
              </w:rPr>
              <w:t>3.1控制系统采用编程逻辑控制器(PLC)+10.2寸人机界面触摸屏+远程监控及操控+软件管理系统（具备软件著作权）系统完成电气和仪表部分的自动控制与监控管理，其中10寸工业级人机界面，分辨率为1024*600，内置嵌入式组态系统。拥有3个RS232接口，2个RS485接口，百兆宽带网口，支持sd卡和USB存储。</w:t>
            </w:r>
          </w:p>
          <w:p w14:paraId="3FFAFA8C">
            <w:pPr>
              <w:rPr>
                <w:rFonts w:ascii="宋体" w:hAnsi="宋体" w:cs="宋体"/>
                <w:szCs w:val="21"/>
              </w:rPr>
            </w:pPr>
            <w:r>
              <w:rPr>
                <w:rFonts w:hint="eastAsia" w:ascii="宋体" w:hAnsi="宋体" w:cs="宋体"/>
                <w:szCs w:val="21"/>
              </w:rPr>
              <w:t>3.2智能控制系统具有云端后台管理功能，随时监测、控制实验室废弃物暂存柜的废气处理、喷淋降温、照明、预警报警、温度控制等功能。</w:t>
            </w:r>
          </w:p>
          <w:p w14:paraId="46E2F8BD">
            <w:pPr>
              <w:rPr>
                <w:rFonts w:ascii="宋体" w:hAnsi="宋体" w:cs="宋体"/>
                <w:szCs w:val="21"/>
              </w:rPr>
            </w:pPr>
            <w:r>
              <w:rPr>
                <w:rFonts w:hint="eastAsia" w:ascii="宋体" w:hAnsi="宋体" w:cs="宋体"/>
                <w:szCs w:val="21"/>
              </w:rPr>
              <w:t>3.3暂存柜软件集中控制系统由10.2寸人机界面液晶中文显示，可设置进入密码；系统具有人机对话功能，自动实时检测各传感器参数，实时显示室内温度、可燃气体浓度、相对湿度、空调状态、喷淋状态、排风速率、废气系统运行状态、警报状态、门禁照明等各项参数，以上参数均须在10.2寸人机界面触摸屏上显示，不允许通过分体显示仪显示。</w:t>
            </w:r>
          </w:p>
          <w:p w14:paraId="432AD274">
            <w:pPr>
              <w:rPr>
                <w:rFonts w:ascii="宋体" w:hAnsi="宋体" w:cs="宋体"/>
                <w:szCs w:val="21"/>
              </w:rPr>
            </w:pPr>
            <w:r>
              <w:rPr>
                <w:rFonts w:hint="eastAsia" w:ascii="宋体" w:hAnsi="宋体" w:cs="宋体"/>
                <w:szCs w:val="21"/>
              </w:rPr>
              <w:t>3.4当柜内气体浓度接近安全临界值20%-30%时，控制系统将智能执行各类处置措施。当接近安全临界值10%-20%时或在可能发生危险的情况下控制系统会启动声光报警，报警音在85分贝以上，能提供远距离预警，同时通过云控制平台给用户发警示短信或者打警示电话；</w:t>
            </w:r>
          </w:p>
          <w:p w14:paraId="51D266CD">
            <w:pPr>
              <w:rPr>
                <w:rFonts w:ascii="宋体" w:hAnsi="宋体" w:cs="宋体"/>
                <w:szCs w:val="21"/>
              </w:rPr>
            </w:pPr>
            <w:r>
              <w:rPr>
                <w:rFonts w:hint="eastAsia" w:ascii="宋体" w:hAnsi="宋体" w:cs="宋体"/>
                <w:szCs w:val="21"/>
              </w:rPr>
              <w:t>当柜内温度当室温度超过或低于设定的安全温度值（3-28℃）时防爆空调将自动开启，超过28℃时，系统将自动启动声光报警灯，同时通过云控制平台给用户发警示短信或者打警示电话；用户可选择手动开启喷淋降温系统；若遇极端状态下（温度超过58℃）时，系统将自动开启喷淋降温系统。</w:t>
            </w:r>
          </w:p>
          <w:p w14:paraId="17A8DCB1">
            <w:pPr>
              <w:rPr>
                <w:rFonts w:ascii="宋体" w:hAnsi="宋体" w:cs="宋体"/>
                <w:szCs w:val="21"/>
              </w:rPr>
            </w:pPr>
            <w:r>
              <w:rPr>
                <w:rFonts w:hint="eastAsia" w:ascii="宋体" w:hAnsi="宋体" w:cs="宋体"/>
                <w:szCs w:val="21"/>
              </w:rPr>
              <w:t>3.5智能控制系统具有云端后台管理功能，可连接至生产厂家云端后台管理系统后，使用单位和售后服务人员均可通过云端后台管理系统随时监测、控制暂存柜系统的废气处理、喷淋降温、照明、预警报警、温度控制等功能。</w:t>
            </w:r>
          </w:p>
        </w:tc>
      </w:tr>
      <w:tr w14:paraId="7223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562FDEBF">
            <w:pPr>
              <w:rPr>
                <w:rFonts w:ascii="宋体" w:hAnsi="宋体" w:cs="宋体"/>
                <w:b/>
                <w:bCs/>
                <w:szCs w:val="21"/>
              </w:rPr>
            </w:pPr>
          </w:p>
        </w:tc>
        <w:tc>
          <w:tcPr>
            <w:tcW w:w="1085" w:type="dxa"/>
            <w:vMerge w:val="continue"/>
          </w:tcPr>
          <w:p w14:paraId="1C3E46C6">
            <w:pPr>
              <w:rPr>
                <w:rFonts w:ascii="宋体" w:hAnsi="宋体" w:cs="宋体"/>
                <w:b/>
                <w:bCs/>
                <w:szCs w:val="21"/>
              </w:rPr>
            </w:pPr>
          </w:p>
        </w:tc>
        <w:tc>
          <w:tcPr>
            <w:tcW w:w="737" w:type="dxa"/>
            <w:vMerge w:val="continue"/>
          </w:tcPr>
          <w:p w14:paraId="74A7AB8D">
            <w:pPr>
              <w:rPr>
                <w:rFonts w:ascii="宋体" w:hAnsi="宋体" w:cs="宋体"/>
                <w:b/>
                <w:bCs/>
                <w:szCs w:val="21"/>
              </w:rPr>
            </w:pPr>
          </w:p>
        </w:tc>
        <w:tc>
          <w:tcPr>
            <w:tcW w:w="913" w:type="dxa"/>
            <w:vMerge w:val="continue"/>
          </w:tcPr>
          <w:p w14:paraId="3CC4A32F">
            <w:pPr>
              <w:rPr>
                <w:rFonts w:ascii="宋体" w:hAnsi="宋体" w:cs="宋体"/>
                <w:b/>
                <w:bCs/>
                <w:szCs w:val="21"/>
              </w:rPr>
            </w:pPr>
          </w:p>
        </w:tc>
        <w:tc>
          <w:tcPr>
            <w:tcW w:w="7004" w:type="dxa"/>
          </w:tcPr>
          <w:p w14:paraId="4CEC09AE">
            <w:pPr>
              <w:rPr>
                <w:rFonts w:ascii="宋体" w:hAnsi="宋体" w:cs="宋体"/>
                <w:szCs w:val="21"/>
              </w:rPr>
            </w:pPr>
            <w:r>
              <w:rPr>
                <w:rFonts w:hint="eastAsia" w:ascii="宋体" w:hAnsi="宋体" w:cs="宋体"/>
                <w:b/>
                <w:bCs/>
                <w:szCs w:val="21"/>
              </w:rPr>
              <w:t>4、通风排气系统</w:t>
            </w:r>
          </w:p>
        </w:tc>
      </w:tr>
      <w:tr w14:paraId="38AA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438" w:type="dxa"/>
            <w:vMerge w:val="continue"/>
          </w:tcPr>
          <w:p w14:paraId="4B29BEDB">
            <w:pPr>
              <w:rPr>
                <w:rFonts w:ascii="宋体" w:hAnsi="宋体" w:cs="宋体"/>
                <w:szCs w:val="21"/>
              </w:rPr>
            </w:pPr>
          </w:p>
        </w:tc>
        <w:tc>
          <w:tcPr>
            <w:tcW w:w="1085" w:type="dxa"/>
            <w:vMerge w:val="continue"/>
          </w:tcPr>
          <w:p w14:paraId="0F71D98D">
            <w:pPr>
              <w:rPr>
                <w:rFonts w:ascii="宋体" w:hAnsi="宋体" w:cs="宋体"/>
                <w:szCs w:val="21"/>
              </w:rPr>
            </w:pPr>
          </w:p>
        </w:tc>
        <w:tc>
          <w:tcPr>
            <w:tcW w:w="737" w:type="dxa"/>
            <w:vMerge w:val="continue"/>
          </w:tcPr>
          <w:p w14:paraId="4901B063">
            <w:pPr>
              <w:rPr>
                <w:rFonts w:ascii="宋体" w:hAnsi="宋体" w:cs="宋体"/>
                <w:szCs w:val="21"/>
              </w:rPr>
            </w:pPr>
          </w:p>
        </w:tc>
        <w:tc>
          <w:tcPr>
            <w:tcW w:w="913" w:type="dxa"/>
            <w:vMerge w:val="continue"/>
          </w:tcPr>
          <w:p w14:paraId="5E185CFF">
            <w:pPr>
              <w:rPr>
                <w:rFonts w:ascii="宋体" w:hAnsi="宋体" w:cs="宋体"/>
                <w:szCs w:val="21"/>
              </w:rPr>
            </w:pPr>
          </w:p>
        </w:tc>
        <w:tc>
          <w:tcPr>
            <w:tcW w:w="7004" w:type="dxa"/>
          </w:tcPr>
          <w:p w14:paraId="08DC4241">
            <w:pPr>
              <w:rPr>
                <w:rFonts w:ascii="宋体" w:hAnsi="宋体" w:cs="宋体"/>
                <w:szCs w:val="21"/>
              </w:rPr>
            </w:pPr>
            <w:r>
              <w:rPr>
                <w:rFonts w:hint="eastAsia" w:ascii="宋体" w:hAnsi="宋体" w:cs="宋体"/>
                <w:szCs w:val="21"/>
              </w:rPr>
              <w:t>4.1柜内顶部安装通风管，管路上采用防火止回阀，柜体两侧各设置3个通风百叶窗，每个百叶窗均可从柜体外部拆卸用于清洗空气净化装置，内部设有防虫鼠、防沙尘网，通风装置的材料为不可燃或阻燃材质。</w:t>
            </w:r>
          </w:p>
          <w:p w14:paraId="3DC553DA">
            <w:pPr>
              <w:rPr>
                <w:rFonts w:ascii="宋体" w:hAnsi="宋体" w:cs="宋体"/>
                <w:szCs w:val="21"/>
              </w:rPr>
            </w:pPr>
            <w:r>
              <w:rPr>
                <w:rFonts w:hint="eastAsia" w:ascii="宋体" w:hAnsi="宋体" w:cs="宋体"/>
                <w:szCs w:val="21"/>
              </w:rPr>
              <w:t>4.2顶部设置4个无动力风机，用于自动微排风。无动力风机在停电环境下可保持通风；</w:t>
            </w:r>
          </w:p>
          <w:p w14:paraId="55065D10">
            <w:pPr>
              <w:rPr>
                <w:rFonts w:ascii="宋体" w:hAnsi="宋体" w:cs="宋体"/>
                <w:szCs w:val="21"/>
              </w:rPr>
            </w:pPr>
            <w:r>
              <w:rPr>
                <w:rFonts w:hint="eastAsia" w:ascii="宋体" w:hAnsi="宋体" w:cs="宋体"/>
                <w:szCs w:val="21"/>
              </w:rPr>
              <w:t>4.3配置强制排风系统，强制排风系统使用防腐离心风机，使用环境温度：-15℃——45℃，机壳采用优质PP板材制作，电机功率2.2KW，噪音≤85dB。</w:t>
            </w:r>
          </w:p>
          <w:p w14:paraId="761671AB">
            <w:pPr>
              <w:rPr>
                <w:rFonts w:hint="eastAsia" w:ascii="宋体" w:hAnsi="宋体" w:eastAsia="宋体" w:cs="宋体"/>
                <w:szCs w:val="21"/>
                <w:lang w:eastAsia="zh-CN"/>
              </w:rPr>
            </w:pPr>
            <w:r>
              <w:rPr>
                <w:rFonts w:hint="eastAsia" w:ascii="宋体" w:hAnsi="宋体" w:cs="宋体"/>
                <w:szCs w:val="21"/>
              </w:rPr>
              <w:t>4.4当柜内可燃气体浓度高于15ppm时，智能安全系统将自动启动强制排风系统。当柜内可燃气体浓度高于18ppm时，智能安全系统将启动声光报警灯，同时通过云控制平台给用户发警示短信或者打警示电话</w:t>
            </w:r>
            <w:r>
              <w:rPr>
                <w:rFonts w:hint="eastAsia" w:ascii="宋体" w:hAnsi="宋体" w:cs="宋体"/>
                <w:szCs w:val="21"/>
                <w:lang w:eastAsia="zh-CN"/>
              </w:rPr>
              <w:t>。</w:t>
            </w:r>
          </w:p>
        </w:tc>
      </w:tr>
      <w:tr w14:paraId="1510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40CB1F19">
            <w:pPr>
              <w:rPr>
                <w:rFonts w:ascii="宋体" w:hAnsi="宋体" w:cs="宋体"/>
                <w:b/>
                <w:bCs/>
                <w:szCs w:val="21"/>
              </w:rPr>
            </w:pPr>
          </w:p>
        </w:tc>
        <w:tc>
          <w:tcPr>
            <w:tcW w:w="1085" w:type="dxa"/>
            <w:vMerge w:val="continue"/>
          </w:tcPr>
          <w:p w14:paraId="764CA11E">
            <w:pPr>
              <w:rPr>
                <w:rFonts w:ascii="宋体" w:hAnsi="宋体" w:cs="宋体"/>
                <w:b/>
                <w:bCs/>
                <w:szCs w:val="21"/>
              </w:rPr>
            </w:pPr>
          </w:p>
        </w:tc>
        <w:tc>
          <w:tcPr>
            <w:tcW w:w="737" w:type="dxa"/>
            <w:vMerge w:val="continue"/>
          </w:tcPr>
          <w:p w14:paraId="1CB7F5D2">
            <w:pPr>
              <w:rPr>
                <w:rFonts w:ascii="宋体" w:hAnsi="宋体" w:cs="宋体"/>
                <w:b/>
                <w:bCs/>
                <w:szCs w:val="21"/>
              </w:rPr>
            </w:pPr>
          </w:p>
        </w:tc>
        <w:tc>
          <w:tcPr>
            <w:tcW w:w="913" w:type="dxa"/>
            <w:vMerge w:val="continue"/>
          </w:tcPr>
          <w:p w14:paraId="127590BF">
            <w:pPr>
              <w:rPr>
                <w:rFonts w:ascii="宋体" w:hAnsi="宋体" w:cs="宋体"/>
                <w:b/>
                <w:bCs/>
                <w:szCs w:val="21"/>
              </w:rPr>
            </w:pPr>
          </w:p>
        </w:tc>
        <w:tc>
          <w:tcPr>
            <w:tcW w:w="7004" w:type="dxa"/>
          </w:tcPr>
          <w:p w14:paraId="78AC2D51">
            <w:pPr>
              <w:rPr>
                <w:rFonts w:ascii="宋体" w:hAnsi="宋体" w:cs="宋体"/>
                <w:szCs w:val="21"/>
              </w:rPr>
            </w:pPr>
            <w:r>
              <w:rPr>
                <w:rFonts w:hint="eastAsia" w:ascii="宋体" w:hAnsi="宋体" w:cs="宋体"/>
                <w:b/>
                <w:bCs/>
                <w:szCs w:val="21"/>
              </w:rPr>
              <w:t>5、废气净化系统</w:t>
            </w:r>
          </w:p>
        </w:tc>
      </w:tr>
      <w:tr w14:paraId="0BB8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jc w:val="center"/>
        </w:trPr>
        <w:tc>
          <w:tcPr>
            <w:tcW w:w="438" w:type="dxa"/>
            <w:vMerge w:val="continue"/>
          </w:tcPr>
          <w:p w14:paraId="3DEC07D0">
            <w:pPr>
              <w:rPr>
                <w:rFonts w:ascii="宋体" w:hAnsi="宋体" w:cs="宋体"/>
                <w:szCs w:val="21"/>
              </w:rPr>
            </w:pPr>
          </w:p>
        </w:tc>
        <w:tc>
          <w:tcPr>
            <w:tcW w:w="1085" w:type="dxa"/>
            <w:vMerge w:val="continue"/>
          </w:tcPr>
          <w:p w14:paraId="2EE504B1">
            <w:pPr>
              <w:rPr>
                <w:rFonts w:ascii="宋体" w:hAnsi="宋体" w:cs="宋体"/>
                <w:szCs w:val="21"/>
              </w:rPr>
            </w:pPr>
          </w:p>
        </w:tc>
        <w:tc>
          <w:tcPr>
            <w:tcW w:w="737" w:type="dxa"/>
            <w:vMerge w:val="continue"/>
          </w:tcPr>
          <w:p w14:paraId="27BA6C6A">
            <w:pPr>
              <w:rPr>
                <w:rFonts w:ascii="宋体" w:hAnsi="宋体" w:cs="宋体"/>
                <w:szCs w:val="21"/>
              </w:rPr>
            </w:pPr>
          </w:p>
        </w:tc>
        <w:tc>
          <w:tcPr>
            <w:tcW w:w="913" w:type="dxa"/>
            <w:vMerge w:val="continue"/>
          </w:tcPr>
          <w:p w14:paraId="5C1AD73B">
            <w:pPr>
              <w:rPr>
                <w:rFonts w:ascii="宋体" w:hAnsi="宋体" w:cs="宋体"/>
                <w:szCs w:val="21"/>
              </w:rPr>
            </w:pPr>
          </w:p>
        </w:tc>
        <w:tc>
          <w:tcPr>
            <w:tcW w:w="7004" w:type="dxa"/>
          </w:tcPr>
          <w:p w14:paraId="7A58F095">
            <w:pPr>
              <w:rPr>
                <w:rFonts w:ascii="宋体" w:hAnsi="宋体" w:cs="宋体"/>
                <w:szCs w:val="21"/>
              </w:rPr>
            </w:pPr>
            <w:r>
              <w:rPr>
                <w:rFonts w:hint="eastAsia" w:ascii="Calibri" w:hAnsi="Calibri"/>
                <w:kern w:val="0"/>
              </w:rPr>
              <w:t>▲</w:t>
            </w:r>
            <w:r>
              <w:rPr>
                <w:rFonts w:hint="eastAsia" w:ascii="宋体" w:hAnsi="宋体" w:cs="宋体"/>
                <w:szCs w:val="21"/>
              </w:rPr>
              <w:t>5.1废气处理系统安装于柜体外箱顶部，与内箱空间完全隔离，净化系统采用光催化氧化技术（二氧化钛光催化材料）及复合式吸附模多级结合处理，更加有效地处理可挥发酸性废气、碱性废气以及有机有毒废气，净化效率≥98%，无需换耗材，废气净化可长久使用，无使用成本。总处理能力大于8000m³/h。</w:t>
            </w:r>
            <w:r>
              <w:rPr>
                <w:rFonts w:hint="eastAsia" w:ascii="宋体" w:hAnsi="宋体" w:cs="宋体"/>
                <w:b/>
                <w:bCs/>
                <w:szCs w:val="21"/>
              </w:rPr>
              <w:t>须提供光催化氧化反应处理系统及光催化剂二氧化钛的附着反应管样品照片，中标后样品原件备查。</w:t>
            </w:r>
          </w:p>
          <w:p w14:paraId="25036A72">
            <w:pPr>
              <w:rPr>
                <w:rFonts w:ascii="宋体" w:hAnsi="宋体" w:cs="宋体"/>
                <w:szCs w:val="21"/>
              </w:rPr>
            </w:pPr>
            <w:r>
              <w:rPr>
                <w:rFonts w:hint="eastAsia" w:ascii="宋体" w:hAnsi="宋体" w:cs="宋体"/>
                <w:szCs w:val="21"/>
              </w:rPr>
              <w:t>5.2当柜内浓度高于15ppm时，智能安全系统将自动启动废气处理系统，废气净化系统开启后废气排放符合《GB16297大气污染物综合排放标准》要求的相关排放标准。</w:t>
            </w:r>
          </w:p>
        </w:tc>
      </w:tr>
      <w:tr w14:paraId="2DDA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6FB9F879">
            <w:pPr>
              <w:rPr>
                <w:rFonts w:ascii="宋体" w:hAnsi="宋体" w:cs="宋体"/>
                <w:b/>
                <w:bCs/>
                <w:szCs w:val="21"/>
              </w:rPr>
            </w:pPr>
          </w:p>
        </w:tc>
        <w:tc>
          <w:tcPr>
            <w:tcW w:w="1085" w:type="dxa"/>
            <w:vMerge w:val="continue"/>
          </w:tcPr>
          <w:p w14:paraId="15C82A21">
            <w:pPr>
              <w:rPr>
                <w:rFonts w:ascii="宋体" w:hAnsi="宋体" w:cs="宋体"/>
                <w:b/>
                <w:bCs/>
                <w:szCs w:val="21"/>
              </w:rPr>
            </w:pPr>
          </w:p>
        </w:tc>
        <w:tc>
          <w:tcPr>
            <w:tcW w:w="737" w:type="dxa"/>
            <w:vMerge w:val="continue"/>
          </w:tcPr>
          <w:p w14:paraId="0F7C770E">
            <w:pPr>
              <w:rPr>
                <w:rFonts w:ascii="宋体" w:hAnsi="宋体" w:cs="宋体"/>
                <w:b/>
                <w:bCs/>
                <w:szCs w:val="21"/>
              </w:rPr>
            </w:pPr>
          </w:p>
        </w:tc>
        <w:tc>
          <w:tcPr>
            <w:tcW w:w="913" w:type="dxa"/>
            <w:vMerge w:val="continue"/>
          </w:tcPr>
          <w:p w14:paraId="73501881">
            <w:pPr>
              <w:rPr>
                <w:rFonts w:ascii="宋体" w:hAnsi="宋体" w:cs="宋体"/>
                <w:b/>
                <w:bCs/>
                <w:szCs w:val="21"/>
              </w:rPr>
            </w:pPr>
          </w:p>
        </w:tc>
        <w:tc>
          <w:tcPr>
            <w:tcW w:w="7004" w:type="dxa"/>
          </w:tcPr>
          <w:p w14:paraId="7E5B21C4">
            <w:pPr>
              <w:rPr>
                <w:rFonts w:ascii="宋体" w:hAnsi="宋体" w:cs="宋体"/>
                <w:szCs w:val="21"/>
              </w:rPr>
            </w:pPr>
            <w:r>
              <w:rPr>
                <w:rFonts w:hint="eastAsia" w:ascii="宋体" w:hAnsi="宋体" w:cs="宋体"/>
                <w:b/>
                <w:bCs/>
                <w:szCs w:val="21"/>
              </w:rPr>
              <w:t>6、温度控制系统</w:t>
            </w:r>
          </w:p>
        </w:tc>
      </w:tr>
      <w:tr w14:paraId="5C63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8" w:hRule="atLeast"/>
          <w:jc w:val="center"/>
        </w:trPr>
        <w:tc>
          <w:tcPr>
            <w:tcW w:w="438" w:type="dxa"/>
            <w:vMerge w:val="continue"/>
          </w:tcPr>
          <w:p w14:paraId="60D458D1">
            <w:pPr>
              <w:rPr>
                <w:rFonts w:ascii="宋体" w:hAnsi="宋体" w:cs="宋体"/>
                <w:szCs w:val="21"/>
              </w:rPr>
            </w:pPr>
          </w:p>
        </w:tc>
        <w:tc>
          <w:tcPr>
            <w:tcW w:w="1085" w:type="dxa"/>
            <w:vMerge w:val="continue"/>
          </w:tcPr>
          <w:p w14:paraId="7BE72C6A">
            <w:pPr>
              <w:rPr>
                <w:rFonts w:ascii="宋体" w:hAnsi="宋体" w:cs="宋体"/>
                <w:szCs w:val="21"/>
              </w:rPr>
            </w:pPr>
          </w:p>
        </w:tc>
        <w:tc>
          <w:tcPr>
            <w:tcW w:w="737" w:type="dxa"/>
            <w:vMerge w:val="continue"/>
          </w:tcPr>
          <w:p w14:paraId="462BB22B">
            <w:pPr>
              <w:rPr>
                <w:rFonts w:ascii="宋体" w:hAnsi="宋体" w:cs="宋体"/>
                <w:szCs w:val="21"/>
              </w:rPr>
            </w:pPr>
          </w:p>
        </w:tc>
        <w:tc>
          <w:tcPr>
            <w:tcW w:w="913" w:type="dxa"/>
            <w:vMerge w:val="continue"/>
          </w:tcPr>
          <w:p w14:paraId="241CACB3">
            <w:pPr>
              <w:rPr>
                <w:rFonts w:ascii="宋体" w:hAnsi="宋体" w:cs="宋体"/>
                <w:szCs w:val="21"/>
              </w:rPr>
            </w:pPr>
          </w:p>
        </w:tc>
        <w:tc>
          <w:tcPr>
            <w:tcW w:w="7004" w:type="dxa"/>
          </w:tcPr>
          <w:p w14:paraId="6F174CE2">
            <w:pPr>
              <w:rPr>
                <w:rFonts w:ascii="宋体" w:hAnsi="宋体" w:cs="宋体"/>
                <w:szCs w:val="21"/>
              </w:rPr>
            </w:pPr>
            <w:r>
              <w:rPr>
                <w:rFonts w:hint="eastAsia" w:ascii="宋体" w:hAnsi="宋体" w:cs="宋体"/>
                <w:szCs w:val="21"/>
              </w:rPr>
              <w:t>6.1柜体内壁设置≥50mm厚的A级防火隔热保温层，防止阳光照射时内部温度过热，低温天气起到保温作用。</w:t>
            </w:r>
          </w:p>
          <w:p w14:paraId="513CB63B">
            <w:pPr>
              <w:rPr>
                <w:rFonts w:ascii="宋体" w:hAnsi="宋体" w:cs="宋体"/>
                <w:szCs w:val="21"/>
              </w:rPr>
            </w:pPr>
            <w:r>
              <w:rPr>
                <w:rFonts w:hint="eastAsia" w:ascii="宋体" w:hAnsi="宋体" w:cs="宋体"/>
                <w:szCs w:val="21"/>
              </w:rPr>
              <w:t>6.2柜体内设有防爆空调两台，当室温度超过或低于设定的安全温度值（3-28℃）时将自动开启，自动有效保证柜内的安全温度，防爆空调功率: 2P, 制冷量5000W；制热量6000 W。于</w:t>
            </w:r>
            <w:r>
              <w:rPr>
                <w:rFonts w:hint="eastAsia" w:ascii="宋体" w:hAnsi="宋体" w:cs="宋体"/>
                <w:szCs w:val="21"/>
                <w:lang w:val="en-US" w:eastAsia="zh-CN"/>
              </w:rPr>
              <w:t>投标</w:t>
            </w:r>
            <w:r>
              <w:rPr>
                <w:rFonts w:hint="eastAsia" w:ascii="宋体" w:hAnsi="宋体" w:cs="宋体"/>
                <w:szCs w:val="21"/>
              </w:rPr>
              <w:t>文件中提供防爆合格证及检测报告复印件。</w:t>
            </w:r>
          </w:p>
        </w:tc>
      </w:tr>
      <w:tr w14:paraId="7D3F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438" w:type="dxa"/>
            <w:vMerge w:val="continue"/>
            <w:vAlign w:val="center"/>
          </w:tcPr>
          <w:p w14:paraId="2612C87B">
            <w:pPr>
              <w:rPr>
                <w:rFonts w:ascii="宋体" w:hAnsi="宋体" w:cs="宋体"/>
                <w:b/>
                <w:bCs/>
                <w:szCs w:val="21"/>
              </w:rPr>
            </w:pPr>
          </w:p>
        </w:tc>
        <w:tc>
          <w:tcPr>
            <w:tcW w:w="1085" w:type="dxa"/>
            <w:vMerge w:val="continue"/>
            <w:vAlign w:val="center"/>
          </w:tcPr>
          <w:p w14:paraId="696D4FEE">
            <w:pPr>
              <w:rPr>
                <w:rFonts w:ascii="宋体" w:hAnsi="宋体" w:cs="宋体"/>
                <w:b/>
                <w:bCs/>
                <w:szCs w:val="21"/>
              </w:rPr>
            </w:pPr>
          </w:p>
        </w:tc>
        <w:tc>
          <w:tcPr>
            <w:tcW w:w="737" w:type="dxa"/>
            <w:vMerge w:val="continue"/>
            <w:vAlign w:val="center"/>
          </w:tcPr>
          <w:p w14:paraId="1A8AB109">
            <w:pPr>
              <w:rPr>
                <w:rFonts w:ascii="宋体" w:hAnsi="宋体" w:cs="宋体"/>
                <w:b/>
                <w:bCs/>
                <w:szCs w:val="21"/>
              </w:rPr>
            </w:pPr>
          </w:p>
        </w:tc>
        <w:tc>
          <w:tcPr>
            <w:tcW w:w="913" w:type="dxa"/>
            <w:vMerge w:val="continue"/>
            <w:vAlign w:val="center"/>
          </w:tcPr>
          <w:p w14:paraId="20663225">
            <w:pPr>
              <w:rPr>
                <w:rFonts w:ascii="宋体" w:hAnsi="宋体" w:cs="宋体"/>
                <w:b/>
                <w:bCs/>
                <w:szCs w:val="21"/>
              </w:rPr>
            </w:pPr>
          </w:p>
        </w:tc>
        <w:tc>
          <w:tcPr>
            <w:tcW w:w="7004" w:type="dxa"/>
            <w:vAlign w:val="center"/>
          </w:tcPr>
          <w:p w14:paraId="434763E8">
            <w:pPr>
              <w:rPr>
                <w:rFonts w:ascii="宋体" w:hAnsi="宋体" w:cs="宋体"/>
                <w:szCs w:val="21"/>
              </w:rPr>
            </w:pPr>
            <w:r>
              <w:rPr>
                <w:rFonts w:hint="eastAsia" w:ascii="宋体" w:hAnsi="宋体" w:cs="宋体"/>
                <w:b/>
                <w:bCs/>
                <w:szCs w:val="21"/>
              </w:rPr>
              <w:t>7、传感监测系统</w:t>
            </w:r>
          </w:p>
        </w:tc>
      </w:tr>
      <w:tr w14:paraId="66A8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438" w:type="dxa"/>
            <w:vMerge w:val="continue"/>
          </w:tcPr>
          <w:p w14:paraId="65B8C67F">
            <w:pPr>
              <w:rPr>
                <w:rFonts w:ascii="宋体" w:hAnsi="宋体" w:cs="宋体"/>
                <w:szCs w:val="21"/>
              </w:rPr>
            </w:pPr>
          </w:p>
        </w:tc>
        <w:tc>
          <w:tcPr>
            <w:tcW w:w="1085" w:type="dxa"/>
            <w:vMerge w:val="continue"/>
          </w:tcPr>
          <w:p w14:paraId="32E2147F">
            <w:pPr>
              <w:rPr>
                <w:rFonts w:ascii="宋体" w:hAnsi="宋体" w:cs="宋体"/>
                <w:szCs w:val="21"/>
              </w:rPr>
            </w:pPr>
          </w:p>
        </w:tc>
        <w:tc>
          <w:tcPr>
            <w:tcW w:w="737" w:type="dxa"/>
            <w:vMerge w:val="continue"/>
          </w:tcPr>
          <w:p w14:paraId="5EADBD06">
            <w:pPr>
              <w:rPr>
                <w:rFonts w:ascii="宋体" w:hAnsi="宋体" w:cs="宋体"/>
                <w:szCs w:val="21"/>
              </w:rPr>
            </w:pPr>
          </w:p>
        </w:tc>
        <w:tc>
          <w:tcPr>
            <w:tcW w:w="913" w:type="dxa"/>
            <w:vMerge w:val="continue"/>
          </w:tcPr>
          <w:p w14:paraId="0BACECD7">
            <w:pPr>
              <w:rPr>
                <w:rFonts w:ascii="宋体" w:hAnsi="宋体" w:cs="宋体"/>
                <w:szCs w:val="21"/>
              </w:rPr>
            </w:pPr>
          </w:p>
        </w:tc>
        <w:tc>
          <w:tcPr>
            <w:tcW w:w="7004" w:type="dxa"/>
          </w:tcPr>
          <w:p w14:paraId="663484C5">
            <w:pPr>
              <w:rPr>
                <w:rFonts w:ascii="宋体" w:hAnsi="宋体" w:cs="宋体"/>
                <w:szCs w:val="21"/>
              </w:rPr>
            </w:pPr>
            <w:r>
              <w:rPr>
                <w:rFonts w:hint="eastAsia" w:ascii="宋体" w:hAnsi="宋体" w:cs="宋体"/>
                <w:szCs w:val="21"/>
              </w:rPr>
              <w:t>7.1柜内设置有温湿度传感装置、氧气报警装置、VOC气体报警装置、可燃气体监测传感装置，带LED现场数据显示功能，用于柜体内部环境监测，保障可探测到不同类型，不同位置的挥发物浓度；</w:t>
            </w:r>
          </w:p>
          <w:p w14:paraId="33D3DF61">
            <w:pPr>
              <w:rPr>
                <w:rFonts w:ascii="宋体" w:hAnsi="宋体" w:cs="宋体"/>
                <w:szCs w:val="21"/>
              </w:rPr>
            </w:pPr>
            <w:r>
              <w:rPr>
                <w:rFonts w:hint="eastAsia" w:ascii="宋体" w:hAnsi="宋体" w:cs="宋体"/>
                <w:szCs w:val="21"/>
              </w:rPr>
              <w:t>7.2设置防爆烟感报警装置两套，火焰探测器两套；</w:t>
            </w:r>
          </w:p>
          <w:p w14:paraId="32573AC9">
            <w:pPr>
              <w:rPr>
                <w:rFonts w:ascii="宋体" w:hAnsi="宋体" w:cs="宋体"/>
                <w:szCs w:val="21"/>
              </w:rPr>
            </w:pPr>
            <w:r>
              <w:rPr>
                <w:rFonts w:hint="eastAsia" w:ascii="宋体" w:hAnsi="宋体" w:cs="宋体"/>
                <w:szCs w:val="21"/>
              </w:rPr>
              <w:t>7.3各传感装置能24小时实时监测柜体内部，当指标达到设定安全值20%-30%（可调）时，通过控制系统自动发出警报，同时智能执行各类处置措施。</w:t>
            </w:r>
          </w:p>
          <w:p w14:paraId="24D79EFA">
            <w:pPr>
              <w:rPr>
                <w:rFonts w:ascii="宋体" w:hAnsi="宋体" w:cs="宋体"/>
                <w:szCs w:val="21"/>
              </w:rPr>
            </w:pPr>
            <w:r>
              <w:rPr>
                <w:rFonts w:hint="eastAsia" w:ascii="宋体" w:hAnsi="宋体" w:cs="宋体"/>
                <w:b/>
                <w:bCs/>
                <w:szCs w:val="21"/>
              </w:rPr>
              <w:t>于投标文件中提供内部元器件防爆合格证复印件</w:t>
            </w:r>
            <w:r>
              <w:rPr>
                <w:rFonts w:hint="eastAsia" w:ascii="宋体" w:hAnsi="宋体" w:cs="宋体"/>
                <w:szCs w:val="21"/>
              </w:rPr>
              <w:t>。</w:t>
            </w:r>
          </w:p>
        </w:tc>
      </w:tr>
      <w:tr w14:paraId="5A26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vAlign w:val="center"/>
          </w:tcPr>
          <w:p w14:paraId="48AE11D0">
            <w:pPr>
              <w:rPr>
                <w:rFonts w:ascii="宋体" w:hAnsi="宋体" w:cs="宋体"/>
                <w:b/>
                <w:bCs/>
                <w:szCs w:val="21"/>
              </w:rPr>
            </w:pPr>
          </w:p>
        </w:tc>
        <w:tc>
          <w:tcPr>
            <w:tcW w:w="1085" w:type="dxa"/>
            <w:vMerge w:val="continue"/>
            <w:vAlign w:val="center"/>
          </w:tcPr>
          <w:p w14:paraId="325EBB78">
            <w:pPr>
              <w:rPr>
                <w:rFonts w:ascii="宋体" w:hAnsi="宋体" w:cs="宋体"/>
                <w:b/>
                <w:bCs/>
                <w:szCs w:val="21"/>
              </w:rPr>
            </w:pPr>
          </w:p>
        </w:tc>
        <w:tc>
          <w:tcPr>
            <w:tcW w:w="737" w:type="dxa"/>
            <w:vMerge w:val="continue"/>
            <w:vAlign w:val="center"/>
          </w:tcPr>
          <w:p w14:paraId="161F191C">
            <w:pPr>
              <w:rPr>
                <w:rFonts w:ascii="宋体" w:hAnsi="宋体" w:cs="宋体"/>
                <w:b/>
                <w:bCs/>
                <w:szCs w:val="21"/>
              </w:rPr>
            </w:pPr>
          </w:p>
        </w:tc>
        <w:tc>
          <w:tcPr>
            <w:tcW w:w="913" w:type="dxa"/>
            <w:vMerge w:val="continue"/>
            <w:vAlign w:val="center"/>
          </w:tcPr>
          <w:p w14:paraId="0318EFE4">
            <w:pPr>
              <w:rPr>
                <w:rFonts w:ascii="宋体" w:hAnsi="宋体" w:cs="宋体"/>
                <w:b/>
                <w:bCs/>
                <w:szCs w:val="21"/>
              </w:rPr>
            </w:pPr>
          </w:p>
        </w:tc>
        <w:tc>
          <w:tcPr>
            <w:tcW w:w="7004" w:type="dxa"/>
            <w:vAlign w:val="center"/>
          </w:tcPr>
          <w:p w14:paraId="766C6A79">
            <w:pPr>
              <w:rPr>
                <w:rFonts w:ascii="宋体" w:hAnsi="宋体" w:cs="宋体"/>
                <w:szCs w:val="21"/>
              </w:rPr>
            </w:pPr>
            <w:r>
              <w:rPr>
                <w:rFonts w:hint="eastAsia" w:ascii="宋体" w:hAnsi="宋体" w:cs="宋体"/>
                <w:b/>
                <w:bCs/>
                <w:szCs w:val="21"/>
              </w:rPr>
              <w:t>8、防爆供电系统</w:t>
            </w:r>
          </w:p>
        </w:tc>
      </w:tr>
      <w:tr w14:paraId="55EB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38" w:type="dxa"/>
            <w:vMerge w:val="continue"/>
          </w:tcPr>
          <w:p w14:paraId="05B54A0B">
            <w:pPr>
              <w:rPr>
                <w:rFonts w:ascii="宋体" w:hAnsi="宋体" w:cs="宋体"/>
                <w:szCs w:val="21"/>
              </w:rPr>
            </w:pPr>
          </w:p>
        </w:tc>
        <w:tc>
          <w:tcPr>
            <w:tcW w:w="1085" w:type="dxa"/>
            <w:vMerge w:val="continue"/>
          </w:tcPr>
          <w:p w14:paraId="13D38CF6">
            <w:pPr>
              <w:rPr>
                <w:rFonts w:ascii="宋体" w:hAnsi="宋体" w:cs="宋体"/>
                <w:szCs w:val="21"/>
              </w:rPr>
            </w:pPr>
          </w:p>
        </w:tc>
        <w:tc>
          <w:tcPr>
            <w:tcW w:w="737" w:type="dxa"/>
            <w:vMerge w:val="continue"/>
          </w:tcPr>
          <w:p w14:paraId="54BCB9CD">
            <w:pPr>
              <w:rPr>
                <w:rFonts w:ascii="宋体" w:hAnsi="宋体" w:cs="宋体"/>
                <w:szCs w:val="21"/>
              </w:rPr>
            </w:pPr>
          </w:p>
        </w:tc>
        <w:tc>
          <w:tcPr>
            <w:tcW w:w="913" w:type="dxa"/>
            <w:vMerge w:val="continue"/>
          </w:tcPr>
          <w:p w14:paraId="1BC5996A">
            <w:pPr>
              <w:rPr>
                <w:rFonts w:ascii="宋体" w:hAnsi="宋体" w:cs="宋体"/>
                <w:szCs w:val="21"/>
              </w:rPr>
            </w:pPr>
          </w:p>
        </w:tc>
        <w:tc>
          <w:tcPr>
            <w:tcW w:w="7004" w:type="dxa"/>
          </w:tcPr>
          <w:p w14:paraId="135D63F9">
            <w:pPr>
              <w:rPr>
                <w:rFonts w:ascii="宋体" w:hAnsi="宋体" w:cs="宋体"/>
                <w:szCs w:val="21"/>
              </w:rPr>
            </w:pPr>
            <w:r>
              <w:rPr>
                <w:rFonts w:hint="eastAsia" w:ascii="宋体" w:hAnsi="宋体" w:cs="宋体"/>
                <w:szCs w:val="21"/>
              </w:rPr>
              <w:t>8.1防爆配电箱防爆等级达到ExdII BT6，外壳材料由铝合金铸压成型，经环氧树脂涂装，额定电压≤AC690V；防护等级IP66，挂式安装，带漏电保护；</w:t>
            </w:r>
          </w:p>
          <w:p w14:paraId="72A33A03">
            <w:pPr>
              <w:rPr>
                <w:rFonts w:ascii="宋体" w:hAnsi="宋体" w:cs="宋体"/>
                <w:szCs w:val="21"/>
              </w:rPr>
            </w:pPr>
            <w:r>
              <w:rPr>
                <w:rFonts w:hint="eastAsia" w:ascii="宋体" w:hAnsi="宋体" w:cs="宋体"/>
                <w:szCs w:val="21"/>
              </w:rPr>
              <w:t>8.2内部照明采用防爆日光灯，工作电压220V，用电量200W。出口处设置防爆应急灯，防爆等级为ExdII BT4以上；</w:t>
            </w:r>
          </w:p>
          <w:p w14:paraId="3FB28E33">
            <w:pPr>
              <w:rPr>
                <w:rFonts w:ascii="宋体" w:hAnsi="宋体" w:cs="宋体"/>
                <w:szCs w:val="21"/>
              </w:rPr>
            </w:pPr>
            <w:r>
              <w:rPr>
                <w:rFonts w:hint="eastAsia" w:ascii="宋体" w:hAnsi="宋体" w:cs="宋体"/>
                <w:szCs w:val="21"/>
              </w:rPr>
              <w:t>8.3内部温度传感器使用防爆设计，内部空调使用防爆设计，内部可燃气体传感器使用防爆设计；</w:t>
            </w:r>
          </w:p>
          <w:p w14:paraId="68375F53">
            <w:pPr>
              <w:rPr>
                <w:rFonts w:ascii="宋体" w:hAnsi="宋体" w:cs="宋体"/>
                <w:szCs w:val="21"/>
              </w:rPr>
            </w:pPr>
            <w:r>
              <w:rPr>
                <w:rFonts w:hint="eastAsia" w:ascii="宋体" w:hAnsi="宋体" w:cs="宋体"/>
                <w:szCs w:val="21"/>
              </w:rPr>
              <w:t>8.4柜内电路敷设按照防爆要求设置，柜内的防爆电器设备的安装、维护、检测等满足《防爆电器设计、安装、维护、检测与安全技术标准规范实用手册》的要求；</w:t>
            </w:r>
          </w:p>
          <w:p w14:paraId="34D0A883">
            <w:pPr>
              <w:rPr>
                <w:rFonts w:hint="eastAsia" w:ascii="宋体" w:hAnsi="宋体" w:eastAsia="宋体" w:cs="宋体"/>
                <w:szCs w:val="21"/>
                <w:lang w:eastAsia="zh-CN"/>
              </w:rPr>
            </w:pPr>
            <w:r>
              <w:rPr>
                <w:rFonts w:hint="eastAsia" w:ascii="宋体" w:hAnsi="宋体" w:cs="宋体"/>
                <w:b/>
                <w:bCs/>
                <w:szCs w:val="21"/>
              </w:rPr>
              <w:t>8.5内部主要电气配件于投标文件中提供有国家防爆电气检验部门出具的防爆合格复印件</w:t>
            </w:r>
            <w:r>
              <w:rPr>
                <w:rFonts w:hint="eastAsia" w:ascii="宋体" w:hAnsi="宋体" w:cs="宋体"/>
                <w:b/>
                <w:bCs/>
                <w:szCs w:val="21"/>
                <w:lang w:eastAsia="zh-CN"/>
              </w:rPr>
              <w:t>。</w:t>
            </w:r>
          </w:p>
        </w:tc>
      </w:tr>
      <w:tr w14:paraId="37EB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6A20BBBC">
            <w:pPr>
              <w:rPr>
                <w:rFonts w:ascii="宋体" w:hAnsi="宋体" w:cs="宋体"/>
                <w:b/>
                <w:bCs/>
                <w:szCs w:val="21"/>
              </w:rPr>
            </w:pPr>
          </w:p>
        </w:tc>
        <w:tc>
          <w:tcPr>
            <w:tcW w:w="1085" w:type="dxa"/>
            <w:vMerge w:val="continue"/>
          </w:tcPr>
          <w:p w14:paraId="272FFE14">
            <w:pPr>
              <w:rPr>
                <w:rFonts w:ascii="宋体" w:hAnsi="宋体" w:cs="宋体"/>
                <w:b/>
                <w:bCs/>
                <w:szCs w:val="21"/>
              </w:rPr>
            </w:pPr>
          </w:p>
        </w:tc>
        <w:tc>
          <w:tcPr>
            <w:tcW w:w="737" w:type="dxa"/>
            <w:vMerge w:val="continue"/>
          </w:tcPr>
          <w:p w14:paraId="1F440701">
            <w:pPr>
              <w:rPr>
                <w:rFonts w:ascii="宋体" w:hAnsi="宋体" w:cs="宋体"/>
                <w:b/>
                <w:bCs/>
                <w:szCs w:val="21"/>
              </w:rPr>
            </w:pPr>
          </w:p>
        </w:tc>
        <w:tc>
          <w:tcPr>
            <w:tcW w:w="913" w:type="dxa"/>
            <w:vMerge w:val="continue"/>
          </w:tcPr>
          <w:p w14:paraId="0961A3E2">
            <w:pPr>
              <w:rPr>
                <w:rFonts w:ascii="宋体" w:hAnsi="宋体" w:cs="宋体"/>
                <w:b/>
                <w:bCs/>
                <w:szCs w:val="21"/>
              </w:rPr>
            </w:pPr>
          </w:p>
        </w:tc>
        <w:tc>
          <w:tcPr>
            <w:tcW w:w="7004" w:type="dxa"/>
          </w:tcPr>
          <w:p w14:paraId="1C5FD7E2">
            <w:pPr>
              <w:rPr>
                <w:rFonts w:ascii="宋体" w:hAnsi="宋体" w:cs="宋体"/>
                <w:szCs w:val="21"/>
              </w:rPr>
            </w:pPr>
            <w:r>
              <w:rPr>
                <w:rFonts w:hint="eastAsia" w:ascii="宋体" w:hAnsi="宋体" w:cs="宋体"/>
                <w:b/>
                <w:bCs/>
                <w:szCs w:val="21"/>
              </w:rPr>
              <w:t>9、漏液回收系统</w:t>
            </w:r>
          </w:p>
        </w:tc>
      </w:tr>
      <w:tr w14:paraId="2956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438" w:type="dxa"/>
            <w:vMerge w:val="continue"/>
          </w:tcPr>
          <w:p w14:paraId="3ECA9F99">
            <w:pPr>
              <w:rPr>
                <w:rFonts w:ascii="宋体" w:hAnsi="宋体" w:cs="宋体"/>
                <w:szCs w:val="21"/>
              </w:rPr>
            </w:pPr>
          </w:p>
        </w:tc>
        <w:tc>
          <w:tcPr>
            <w:tcW w:w="1085" w:type="dxa"/>
            <w:vMerge w:val="continue"/>
          </w:tcPr>
          <w:p w14:paraId="2F56F9F5">
            <w:pPr>
              <w:rPr>
                <w:rFonts w:ascii="宋体" w:hAnsi="宋体" w:cs="宋体"/>
                <w:szCs w:val="21"/>
              </w:rPr>
            </w:pPr>
          </w:p>
        </w:tc>
        <w:tc>
          <w:tcPr>
            <w:tcW w:w="737" w:type="dxa"/>
            <w:vMerge w:val="continue"/>
          </w:tcPr>
          <w:p w14:paraId="181694F3">
            <w:pPr>
              <w:rPr>
                <w:rFonts w:ascii="宋体" w:hAnsi="宋体" w:cs="宋体"/>
                <w:szCs w:val="21"/>
              </w:rPr>
            </w:pPr>
          </w:p>
        </w:tc>
        <w:tc>
          <w:tcPr>
            <w:tcW w:w="913" w:type="dxa"/>
            <w:vMerge w:val="continue"/>
          </w:tcPr>
          <w:p w14:paraId="6AF8988D">
            <w:pPr>
              <w:rPr>
                <w:rFonts w:ascii="宋体" w:hAnsi="宋体" w:cs="宋体"/>
                <w:szCs w:val="21"/>
              </w:rPr>
            </w:pPr>
          </w:p>
        </w:tc>
        <w:tc>
          <w:tcPr>
            <w:tcW w:w="7004" w:type="dxa"/>
          </w:tcPr>
          <w:p w14:paraId="65975B38">
            <w:pPr>
              <w:rPr>
                <w:rFonts w:ascii="宋体" w:hAnsi="宋体" w:cs="宋体"/>
                <w:szCs w:val="21"/>
              </w:rPr>
            </w:pPr>
            <w:r>
              <w:rPr>
                <w:rFonts w:hint="eastAsia" w:ascii="Calibri" w:hAnsi="Calibri"/>
                <w:kern w:val="0"/>
              </w:rPr>
              <w:t>▲</w:t>
            </w:r>
            <w:r>
              <w:rPr>
                <w:rFonts w:hint="eastAsia" w:ascii="宋体" w:hAnsi="宋体" w:cs="宋体"/>
                <w:szCs w:val="21"/>
              </w:rPr>
              <w:t>9.1废水（液）收集池设有废水预处理单元，收集池设置于高出场地常规地坪20cm的抬升区位，池体须砌筑混凝土防护挡沿，池口配套密闭盖板全覆盖封闭，从高差、物理挡沿、密封封盖三重设计规避汛期雨水汇流倒灌进池风险。处理单元采用两级一体化注塑成型耐酸碱白色PP材质的处理器，无焊接缝隙，内置吸附材料可去除废液中悬浮物、颗粒物等；</w:t>
            </w:r>
            <w:r>
              <w:rPr>
                <w:rFonts w:hint="eastAsia" w:ascii="宋体" w:hAnsi="宋体" w:cs="宋体"/>
                <w:b/>
                <w:bCs/>
                <w:szCs w:val="21"/>
              </w:rPr>
              <w:t>投标人须自行录制两级一体化注塑成型耐酸碱PP材质废水废液预处理单元完整实物演示视频</w:t>
            </w:r>
            <w:r>
              <w:rPr>
                <w:rFonts w:hint="eastAsia" w:ascii="宋体" w:hAnsi="宋体" w:cs="宋体"/>
                <w:szCs w:val="21"/>
              </w:rPr>
              <w:t>，视频需高清实拍产品全貌、结构细节，</w:t>
            </w:r>
            <w:r>
              <w:rPr>
                <w:rFonts w:hint="eastAsia" w:ascii="Calibri" w:hAnsi="Calibri"/>
              </w:rPr>
              <w:t>视频中测量以下关键尺寸参数</w:t>
            </w:r>
            <w:r>
              <w:rPr>
                <w:rFonts w:hint="eastAsia" w:ascii="宋体" w:hAnsi="宋体" w:cs="宋体"/>
                <w:szCs w:val="21"/>
              </w:rPr>
              <w:t>：产品整体规格（高：≤310mm，宽：≤163mm，其中柱子直径≥70mm，缝隙预留≥5mm，连接管接口直径：16mm±2mm）。视频需完整展示产品一体化注塑成型工艺外观、PP材质质感，不得采用拼接剪辑、修图篡改尺寸的素材。中标后样品原件备查。</w:t>
            </w:r>
            <w:r>
              <w:rPr>
                <w:rFonts w:hint="eastAsia" w:ascii="宋体" w:hAnsi="宋体" w:cs="宋体"/>
                <w:szCs w:val="21"/>
              </w:rPr>
              <w:br w:type="textWrapping"/>
            </w:r>
            <w:r>
              <w:rPr>
                <w:rFonts w:hint="eastAsia" w:ascii="宋体" w:hAnsi="宋体" w:cs="宋体"/>
                <w:szCs w:val="21"/>
              </w:rPr>
              <w:t>▲</w:t>
            </w:r>
            <w:r>
              <w:rPr>
                <w:rFonts w:hint="eastAsia" w:ascii="宋体" w:hAnsi="宋体" w:cs="宋体"/>
                <w:b/>
                <w:bCs/>
                <w:szCs w:val="21"/>
              </w:rPr>
              <w:t>9.2PP 板材须提供经 CMA 计量认证或CNAS 实验室认可第三方检测机构出具的材质检测报告复印件（报告须加盖 CMA或CNAS 专用章）。按国标或 ISO 国际标准开展检测，检测机构须提供对应检测标准的资质证明文件（认证证书附件或认可官网查询截图）。负荷变形温度不低于 160℃，按 GB/T 1634.1-2025、GB/T 1634.2-2019（对应 ISO 75-1:2020、ISO 75-2:2013）方法检测；维卡软化温度不低于 180℃，按 GB/T 1633-2025（对应 ISO 306:2022）方法检测。相关佐证供货时原件备查。</w:t>
            </w:r>
          </w:p>
        </w:tc>
      </w:tr>
      <w:tr w14:paraId="67C2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214F10AF">
            <w:pPr>
              <w:rPr>
                <w:rFonts w:ascii="宋体" w:hAnsi="宋体" w:cs="宋体"/>
                <w:b/>
                <w:bCs/>
                <w:szCs w:val="21"/>
              </w:rPr>
            </w:pPr>
          </w:p>
        </w:tc>
        <w:tc>
          <w:tcPr>
            <w:tcW w:w="1085" w:type="dxa"/>
            <w:vMerge w:val="continue"/>
          </w:tcPr>
          <w:p w14:paraId="1FF5F508">
            <w:pPr>
              <w:rPr>
                <w:rFonts w:ascii="宋体" w:hAnsi="宋体" w:cs="宋体"/>
                <w:b/>
                <w:bCs/>
                <w:szCs w:val="21"/>
              </w:rPr>
            </w:pPr>
          </w:p>
        </w:tc>
        <w:tc>
          <w:tcPr>
            <w:tcW w:w="737" w:type="dxa"/>
            <w:vMerge w:val="continue"/>
          </w:tcPr>
          <w:p w14:paraId="31FFFB5C">
            <w:pPr>
              <w:rPr>
                <w:rFonts w:ascii="宋体" w:hAnsi="宋体" w:cs="宋体"/>
                <w:b/>
                <w:bCs/>
                <w:szCs w:val="21"/>
              </w:rPr>
            </w:pPr>
          </w:p>
        </w:tc>
        <w:tc>
          <w:tcPr>
            <w:tcW w:w="913" w:type="dxa"/>
            <w:vMerge w:val="continue"/>
          </w:tcPr>
          <w:p w14:paraId="46770E81">
            <w:pPr>
              <w:rPr>
                <w:rFonts w:ascii="宋体" w:hAnsi="宋体" w:cs="宋体"/>
                <w:b/>
                <w:bCs/>
                <w:szCs w:val="21"/>
              </w:rPr>
            </w:pPr>
          </w:p>
        </w:tc>
        <w:tc>
          <w:tcPr>
            <w:tcW w:w="7004" w:type="dxa"/>
          </w:tcPr>
          <w:p w14:paraId="060EC478">
            <w:pPr>
              <w:rPr>
                <w:rFonts w:ascii="宋体" w:hAnsi="宋体" w:cs="宋体"/>
                <w:szCs w:val="21"/>
              </w:rPr>
            </w:pPr>
            <w:r>
              <w:rPr>
                <w:rFonts w:hint="eastAsia" w:ascii="宋体" w:hAnsi="宋体" w:cs="宋体"/>
                <w:b/>
                <w:bCs/>
                <w:szCs w:val="21"/>
              </w:rPr>
              <w:t>10、自动消防灭火系统及安全措施</w:t>
            </w:r>
          </w:p>
        </w:tc>
      </w:tr>
      <w:tr w14:paraId="227E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438" w:type="dxa"/>
            <w:vMerge w:val="continue"/>
          </w:tcPr>
          <w:p w14:paraId="78EE21E4">
            <w:pPr>
              <w:rPr>
                <w:rFonts w:ascii="宋体" w:hAnsi="宋体" w:cs="宋体"/>
                <w:szCs w:val="21"/>
              </w:rPr>
            </w:pPr>
          </w:p>
        </w:tc>
        <w:tc>
          <w:tcPr>
            <w:tcW w:w="1085" w:type="dxa"/>
            <w:vMerge w:val="continue"/>
          </w:tcPr>
          <w:p w14:paraId="5C42264A">
            <w:pPr>
              <w:rPr>
                <w:rFonts w:ascii="宋体" w:hAnsi="宋体" w:cs="宋体"/>
                <w:szCs w:val="21"/>
              </w:rPr>
            </w:pPr>
          </w:p>
        </w:tc>
        <w:tc>
          <w:tcPr>
            <w:tcW w:w="737" w:type="dxa"/>
            <w:vMerge w:val="continue"/>
          </w:tcPr>
          <w:p w14:paraId="18EA11C4">
            <w:pPr>
              <w:rPr>
                <w:rFonts w:ascii="宋体" w:hAnsi="宋体" w:cs="宋体"/>
                <w:szCs w:val="21"/>
              </w:rPr>
            </w:pPr>
          </w:p>
        </w:tc>
        <w:tc>
          <w:tcPr>
            <w:tcW w:w="913" w:type="dxa"/>
            <w:vMerge w:val="continue"/>
          </w:tcPr>
          <w:p w14:paraId="5553B940">
            <w:pPr>
              <w:rPr>
                <w:rFonts w:ascii="宋体" w:hAnsi="宋体" w:cs="宋体"/>
                <w:szCs w:val="21"/>
              </w:rPr>
            </w:pPr>
          </w:p>
        </w:tc>
        <w:tc>
          <w:tcPr>
            <w:tcW w:w="7004" w:type="dxa"/>
          </w:tcPr>
          <w:p w14:paraId="731D2E91">
            <w:pPr>
              <w:rPr>
                <w:rFonts w:ascii="宋体" w:hAnsi="宋体" w:cs="宋体"/>
                <w:szCs w:val="21"/>
              </w:rPr>
            </w:pPr>
            <w:r>
              <w:rPr>
                <w:rFonts w:hint="eastAsia" w:ascii="宋体" w:hAnsi="宋体" w:cs="宋体"/>
                <w:szCs w:val="21"/>
              </w:rPr>
              <w:t>10.1柜体内顶部配有七氟丙烷自动灭火装置12套，覆盖整个柜体内部，当室内温度达到68℃时，感温元件自动爆破，自动灭火装置可自动喷出灭火药剂，灭火药剂自动喷放到防护区实施灭火，灭火范围覆盖整个柜体内部；七氟丙烷自动灭火装置:规格6.0kg，灭火剂HFC-227ea，使用温度:0°C-+50°C，灭火能力:全淹没；动作温度:68°C  驱动气体:1.6MPaN2</w:t>
            </w:r>
          </w:p>
          <w:p w14:paraId="2B9A8939">
            <w:pPr>
              <w:rPr>
                <w:rFonts w:ascii="宋体" w:hAnsi="宋体" w:cs="宋体"/>
                <w:szCs w:val="21"/>
              </w:rPr>
            </w:pPr>
            <w:r>
              <w:rPr>
                <w:rFonts w:hint="eastAsia" w:ascii="宋体" w:hAnsi="宋体" w:cs="宋体"/>
                <w:szCs w:val="21"/>
              </w:rPr>
              <w:t>10.2手投式干粉灭火装置4套，在紧急情况下也可以人工投入灭火。手投式灭火器：规格0.8kg  灭火剂松密度≥0.82g/ml 含水率≤0.25</w:t>
            </w:r>
          </w:p>
        </w:tc>
      </w:tr>
      <w:tr w14:paraId="1D1E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051375EB">
            <w:pPr>
              <w:rPr>
                <w:rFonts w:ascii="宋体" w:hAnsi="宋体" w:cs="宋体"/>
                <w:b/>
                <w:bCs/>
                <w:szCs w:val="21"/>
              </w:rPr>
            </w:pPr>
          </w:p>
        </w:tc>
        <w:tc>
          <w:tcPr>
            <w:tcW w:w="1085" w:type="dxa"/>
            <w:vMerge w:val="continue"/>
          </w:tcPr>
          <w:p w14:paraId="026B078E">
            <w:pPr>
              <w:rPr>
                <w:rFonts w:ascii="宋体" w:hAnsi="宋体" w:cs="宋体"/>
                <w:b/>
                <w:bCs/>
                <w:szCs w:val="21"/>
              </w:rPr>
            </w:pPr>
          </w:p>
        </w:tc>
        <w:tc>
          <w:tcPr>
            <w:tcW w:w="737" w:type="dxa"/>
            <w:vMerge w:val="continue"/>
          </w:tcPr>
          <w:p w14:paraId="47EF2161">
            <w:pPr>
              <w:rPr>
                <w:rFonts w:ascii="宋体" w:hAnsi="宋体" w:cs="宋体"/>
                <w:b/>
                <w:bCs/>
                <w:szCs w:val="21"/>
              </w:rPr>
            </w:pPr>
          </w:p>
        </w:tc>
        <w:tc>
          <w:tcPr>
            <w:tcW w:w="913" w:type="dxa"/>
            <w:vMerge w:val="continue"/>
          </w:tcPr>
          <w:p w14:paraId="60FC38FF">
            <w:pPr>
              <w:rPr>
                <w:rFonts w:ascii="宋体" w:hAnsi="宋体" w:cs="宋体"/>
                <w:b/>
                <w:bCs/>
                <w:szCs w:val="21"/>
              </w:rPr>
            </w:pPr>
          </w:p>
        </w:tc>
        <w:tc>
          <w:tcPr>
            <w:tcW w:w="7004" w:type="dxa"/>
          </w:tcPr>
          <w:p w14:paraId="45B1523A">
            <w:pPr>
              <w:rPr>
                <w:rFonts w:ascii="宋体" w:hAnsi="宋体" w:cs="宋体"/>
                <w:szCs w:val="21"/>
              </w:rPr>
            </w:pPr>
            <w:r>
              <w:rPr>
                <w:rFonts w:hint="eastAsia" w:ascii="宋体" w:hAnsi="宋体" w:cs="宋体"/>
                <w:b/>
                <w:bCs/>
                <w:szCs w:val="21"/>
              </w:rPr>
              <w:t>11、个人安全防护设施</w:t>
            </w:r>
          </w:p>
        </w:tc>
      </w:tr>
      <w:tr w14:paraId="79D5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jc w:val="center"/>
        </w:trPr>
        <w:tc>
          <w:tcPr>
            <w:tcW w:w="438" w:type="dxa"/>
            <w:vMerge w:val="continue"/>
          </w:tcPr>
          <w:p w14:paraId="549CA099">
            <w:pPr>
              <w:rPr>
                <w:rFonts w:ascii="宋体" w:hAnsi="宋体" w:cs="宋体"/>
                <w:szCs w:val="21"/>
              </w:rPr>
            </w:pPr>
          </w:p>
        </w:tc>
        <w:tc>
          <w:tcPr>
            <w:tcW w:w="1085" w:type="dxa"/>
            <w:vMerge w:val="continue"/>
          </w:tcPr>
          <w:p w14:paraId="3FCA95FC">
            <w:pPr>
              <w:rPr>
                <w:rFonts w:ascii="宋体" w:hAnsi="宋体" w:cs="宋体"/>
                <w:szCs w:val="21"/>
              </w:rPr>
            </w:pPr>
          </w:p>
        </w:tc>
        <w:tc>
          <w:tcPr>
            <w:tcW w:w="737" w:type="dxa"/>
            <w:vMerge w:val="continue"/>
          </w:tcPr>
          <w:p w14:paraId="18375E69">
            <w:pPr>
              <w:rPr>
                <w:rFonts w:ascii="宋体" w:hAnsi="宋体" w:cs="宋体"/>
                <w:szCs w:val="21"/>
              </w:rPr>
            </w:pPr>
          </w:p>
        </w:tc>
        <w:tc>
          <w:tcPr>
            <w:tcW w:w="913" w:type="dxa"/>
            <w:vMerge w:val="continue"/>
          </w:tcPr>
          <w:p w14:paraId="4A7F6E1F">
            <w:pPr>
              <w:rPr>
                <w:rFonts w:ascii="宋体" w:hAnsi="宋体" w:cs="宋体"/>
                <w:szCs w:val="21"/>
              </w:rPr>
            </w:pPr>
          </w:p>
        </w:tc>
        <w:tc>
          <w:tcPr>
            <w:tcW w:w="7004" w:type="dxa"/>
          </w:tcPr>
          <w:p w14:paraId="00D39AA7">
            <w:pPr>
              <w:rPr>
                <w:rFonts w:ascii="宋体" w:hAnsi="宋体" w:cs="宋体"/>
                <w:szCs w:val="21"/>
              </w:rPr>
            </w:pPr>
            <w:r>
              <w:rPr>
                <w:rFonts w:hint="eastAsia" w:ascii="宋体" w:hAnsi="宋体" w:cs="宋体"/>
                <w:szCs w:val="21"/>
              </w:rPr>
              <w:t>11.1柜体外侧配备内嵌式个人防护箱，箱内配备特种防护服、特种防护面具、防护手套、防护眼镜等个人防护用品，每种防护用品1套；</w:t>
            </w:r>
          </w:p>
          <w:p w14:paraId="34D7C702">
            <w:pPr>
              <w:rPr>
                <w:rFonts w:ascii="宋体" w:hAnsi="宋体" w:cs="宋体"/>
                <w:szCs w:val="21"/>
              </w:rPr>
            </w:pPr>
            <w:r>
              <w:rPr>
                <w:rFonts w:hint="eastAsia" w:ascii="宋体" w:hAnsi="宋体" w:cs="宋体"/>
                <w:szCs w:val="21"/>
              </w:rPr>
              <w:t>11.2配置一套紧急冲淋洗眼器，不锈钢组合式。冲淋阀门32mm，密封压力0.4mPa；冲淋直径32mm；喷淋流量120-180L/min；工作压力：0.25-0.45mPa；用水来源：常温水或符合卫生标准用水。按照在离柜门外一边1.5m处，10秒内可到达处安装。需有可持续稳定的供水，至少保证水流15分钟以上， 35L/min 水量，1秒迅速无障碍开启。并配有废水回收装置及预处理装置，可保证废水（液）在收集时安全，减少对环境的影响。</w:t>
            </w:r>
          </w:p>
        </w:tc>
      </w:tr>
      <w:tr w14:paraId="3565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66A57663">
            <w:pPr>
              <w:rPr>
                <w:rFonts w:ascii="宋体" w:hAnsi="宋体" w:cs="宋体"/>
                <w:b/>
                <w:bCs/>
                <w:szCs w:val="21"/>
              </w:rPr>
            </w:pPr>
          </w:p>
        </w:tc>
        <w:tc>
          <w:tcPr>
            <w:tcW w:w="1085" w:type="dxa"/>
            <w:vMerge w:val="continue"/>
          </w:tcPr>
          <w:p w14:paraId="5DD88DDE">
            <w:pPr>
              <w:rPr>
                <w:rFonts w:ascii="宋体" w:hAnsi="宋体" w:cs="宋体"/>
                <w:b/>
                <w:bCs/>
                <w:szCs w:val="21"/>
              </w:rPr>
            </w:pPr>
          </w:p>
        </w:tc>
        <w:tc>
          <w:tcPr>
            <w:tcW w:w="737" w:type="dxa"/>
            <w:vMerge w:val="continue"/>
          </w:tcPr>
          <w:p w14:paraId="20F8284C">
            <w:pPr>
              <w:rPr>
                <w:rFonts w:ascii="宋体" w:hAnsi="宋体" w:cs="宋体"/>
                <w:b/>
                <w:bCs/>
                <w:szCs w:val="21"/>
              </w:rPr>
            </w:pPr>
          </w:p>
        </w:tc>
        <w:tc>
          <w:tcPr>
            <w:tcW w:w="913" w:type="dxa"/>
            <w:vMerge w:val="continue"/>
          </w:tcPr>
          <w:p w14:paraId="6D12D269">
            <w:pPr>
              <w:rPr>
                <w:rFonts w:ascii="宋体" w:hAnsi="宋体" w:cs="宋体"/>
                <w:b/>
                <w:bCs/>
                <w:szCs w:val="21"/>
              </w:rPr>
            </w:pPr>
          </w:p>
        </w:tc>
        <w:tc>
          <w:tcPr>
            <w:tcW w:w="7004" w:type="dxa"/>
          </w:tcPr>
          <w:p w14:paraId="7BF3C993">
            <w:pPr>
              <w:rPr>
                <w:rFonts w:ascii="宋体" w:hAnsi="宋体" w:cs="宋体"/>
                <w:szCs w:val="21"/>
              </w:rPr>
            </w:pPr>
            <w:r>
              <w:rPr>
                <w:rFonts w:hint="eastAsia" w:ascii="宋体" w:hAnsi="宋体" w:cs="宋体"/>
                <w:b/>
                <w:bCs/>
                <w:szCs w:val="21"/>
              </w:rPr>
              <w:t>12、静电防护系统</w:t>
            </w:r>
          </w:p>
        </w:tc>
      </w:tr>
      <w:tr w14:paraId="4853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438" w:type="dxa"/>
            <w:vMerge w:val="continue"/>
          </w:tcPr>
          <w:p w14:paraId="5698B9E5">
            <w:pPr>
              <w:rPr>
                <w:rFonts w:ascii="宋体" w:hAnsi="宋体" w:cs="宋体"/>
                <w:szCs w:val="21"/>
              </w:rPr>
            </w:pPr>
          </w:p>
        </w:tc>
        <w:tc>
          <w:tcPr>
            <w:tcW w:w="1085" w:type="dxa"/>
            <w:vMerge w:val="continue"/>
          </w:tcPr>
          <w:p w14:paraId="795831F3">
            <w:pPr>
              <w:rPr>
                <w:rFonts w:ascii="宋体" w:hAnsi="宋体" w:cs="宋体"/>
                <w:szCs w:val="21"/>
              </w:rPr>
            </w:pPr>
          </w:p>
        </w:tc>
        <w:tc>
          <w:tcPr>
            <w:tcW w:w="737" w:type="dxa"/>
            <w:vMerge w:val="continue"/>
          </w:tcPr>
          <w:p w14:paraId="534B3513">
            <w:pPr>
              <w:rPr>
                <w:rFonts w:ascii="宋体" w:hAnsi="宋体" w:cs="宋体"/>
                <w:szCs w:val="21"/>
              </w:rPr>
            </w:pPr>
          </w:p>
        </w:tc>
        <w:tc>
          <w:tcPr>
            <w:tcW w:w="913" w:type="dxa"/>
            <w:vMerge w:val="continue"/>
          </w:tcPr>
          <w:p w14:paraId="32E34DF6">
            <w:pPr>
              <w:rPr>
                <w:rFonts w:ascii="宋体" w:hAnsi="宋体" w:cs="宋体"/>
                <w:szCs w:val="21"/>
              </w:rPr>
            </w:pPr>
          </w:p>
        </w:tc>
        <w:tc>
          <w:tcPr>
            <w:tcW w:w="7004" w:type="dxa"/>
          </w:tcPr>
          <w:p w14:paraId="4BBB441E">
            <w:pPr>
              <w:spacing w:line="400" w:lineRule="exact"/>
              <w:rPr>
                <w:rFonts w:ascii="宋体" w:hAnsi="宋体" w:cs="宋体"/>
                <w:szCs w:val="21"/>
              </w:rPr>
            </w:pPr>
            <w:r>
              <w:rPr>
                <w:rFonts w:hint="eastAsia" w:ascii="宋体" w:hAnsi="宋体" w:cs="宋体"/>
                <w:szCs w:val="21"/>
              </w:rPr>
              <w:t>12.1柜体门口设置有防爆人体静电释放柱，与柜体主体连接，用于工作人员在进入前触摸，泄去其身体上所携带的静电荷；主电源接入处安装有独立的防雷击浪涌保护器，用于防范静电危害。防爆人体静电释放柱为PE静电释放柱，含亚导体防爆球头，球径90mm，整体高110cm，管径38mm，配3米接地线；提供有效的人体静电释放柱防爆合格证书复印件。</w:t>
            </w:r>
          </w:p>
          <w:p w14:paraId="24E021A7">
            <w:pPr>
              <w:rPr>
                <w:rFonts w:ascii="宋体" w:hAnsi="宋体" w:cs="宋体"/>
                <w:szCs w:val="21"/>
              </w:rPr>
            </w:pPr>
            <w:r>
              <w:rPr>
                <w:rFonts w:hint="eastAsia" w:ascii="宋体" w:hAnsi="宋体" w:cs="宋体"/>
                <w:szCs w:val="21"/>
              </w:rPr>
              <w:t>12.2主电源接入处安装有独立的防雷击浪涌保护器，用于防范静电危害。</w:t>
            </w:r>
          </w:p>
        </w:tc>
      </w:tr>
      <w:tr w14:paraId="1509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6B6C4DB7">
            <w:pPr>
              <w:rPr>
                <w:rFonts w:ascii="宋体" w:hAnsi="宋体" w:cs="宋体"/>
                <w:b/>
                <w:bCs/>
                <w:szCs w:val="21"/>
              </w:rPr>
            </w:pPr>
          </w:p>
        </w:tc>
        <w:tc>
          <w:tcPr>
            <w:tcW w:w="1085" w:type="dxa"/>
            <w:vMerge w:val="continue"/>
          </w:tcPr>
          <w:p w14:paraId="5AC3057A">
            <w:pPr>
              <w:rPr>
                <w:rFonts w:ascii="宋体" w:hAnsi="宋体" w:cs="宋体"/>
                <w:b/>
                <w:bCs/>
                <w:szCs w:val="21"/>
              </w:rPr>
            </w:pPr>
          </w:p>
        </w:tc>
        <w:tc>
          <w:tcPr>
            <w:tcW w:w="737" w:type="dxa"/>
            <w:vMerge w:val="continue"/>
          </w:tcPr>
          <w:p w14:paraId="3CEFD412">
            <w:pPr>
              <w:rPr>
                <w:rFonts w:ascii="宋体" w:hAnsi="宋体" w:cs="宋体"/>
                <w:b/>
                <w:bCs/>
                <w:szCs w:val="21"/>
              </w:rPr>
            </w:pPr>
          </w:p>
        </w:tc>
        <w:tc>
          <w:tcPr>
            <w:tcW w:w="913" w:type="dxa"/>
            <w:vMerge w:val="continue"/>
          </w:tcPr>
          <w:p w14:paraId="57F0F010">
            <w:pPr>
              <w:rPr>
                <w:rFonts w:ascii="宋体" w:hAnsi="宋体" w:cs="宋体"/>
                <w:b/>
                <w:bCs/>
                <w:szCs w:val="21"/>
              </w:rPr>
            </w:pPr>
          </w:p>
        </w:tc>
        <w:tc>
          <w:tcPr>
            <w:tcW w:w="7004" w:type="dxa"/>
          </w:tcPr>
          <w:p w14:paraId="43E77AF9">
            <w:pPr>
              <w:rPr>
                <w:rFonts w:ascii="宋体" w:hAnsi="宋体" w:cs="宋体"/>
                <w:szCs w:val="21"/>
              </w:rPr>
            </w:pPr>
            <w:r>
              <w:rPr>
                <w:rFonts w:hint="eastAsia" w:ascii="宋体" w:hAnsi="宋体" w:cs="宋体"/>
                <w:b/>
                <w:bCs/>
                <w:szCs w:val="21"/>
              </w:rPr>
              <w:t>13、视频监控系统</w:t>
            </w:r>
          </w:p>
        </w:tc>
      </w:tr>
      <w:tr w14:paraId="5F83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38" w:type="dxa"/>
            <w:vMerge w:val="continue"/>
          </w:tcPr>
          <w:p w14:paraId="3CDCE78C">
            <w:pPr>
              <w:rPr>
                <w:rFonts w:ascii="宋体" w:hAnsi="宋体" w:cs="宋体"/>
                <w:szCs w:val="21"/>
              </w:rPr>
            </w:pPr>
          </w:p>
        </w:tc>
        <w:tc>
          <w:tcPr>
            <w:tcW w:w="1085" w:type="dxa"/>
            <w:vMerge w:val="continue"/>
          </w:tcPr>
          <w:p w14:paraId="6AC42610">
            <w:pPr>
              <w:rPr>
                <w:rFonts w:ascii="宋体" w:hAnsi="宋体" w:cs="宋体"/>
                <w:szCs w:val="21"/>
              </w:rPr>
            </w:pPr>
          </w:p>
        </w:tc>
        <w:tc>
          <w:tcPr>
            <w:tcW w:w="737" w:type="dxa"/>
            <w:vMerge w:val="continue"/>
          </w:tcPr>
          <w:p w14:paraId="5778660E">
            <w:pPr>
              <w:rPr>
                <w:rFonts w:ascii="宋体" w:hAnsi="宋体" w:cs="宋体"/>
                <w:szCs w:val="21"/>
              </w:rPr>
            </w:pPr>
          </w:p>
        </w:tc>
        <w:tc>
          <w:tcPr>
            <w:tcW w:w="913" w:type="dxa"/>
            <w:vMerge w:val="continue"/>
          </w:tcPr>
          <w:p w14:paraId="12B633D3">
            <w:pPr>
              <w:rPr>
                <w:rFonts w:ascii="宋体" w:hAnsi="宋体" w:cs="宋体"/>
                <w:szCs w:val="21"/>
              </w:rPr>
            </w:pPr>
          </w:p>
        </w:tc>
        <w:tc>
          <w:tcPr>
            <w:tcW w:w="7004" w:type="dxa"/>
          </w:tcPr>
          <w:p w14:paraId="40ED2522">
            <w:pPr>
              <w:spacing w:line="400" w:lineRule="exact"/>
              <w:rPr>
                <w:rFonts w:ascii="宋体" w:hAnsi="宋体" w:cs="宋体"/>
                <w:szCs w:val="21"/>
              </w:rPr>
            </w:pPr>
            <w:r>
              <w:rPr>
                <w:rFonts w:hint="eastAsia" w:ascii="宋体" w:hAnsi="宋体" w:cs="宋体"/>
                <w:szCs w:val="21"/>
              </w:rPr>
              <w:t xml:space="preserve">13.1柜内配置2个防爆视频监控摄像头，可无死角全覆盖监控；摄像头带有夜间红外监控功能，分辨率不小于960P； </w:t>
            </w:r>
          </w:p>
          <w:p w14:paraId="2340675E">
            <w:pPr>
              <w:spacing w:line="400" w:lineRule="exact"/>
              <w:rPr>
                <w:rFonts w:ascii="宋体" w:hAnsi="宋体" w:cs="宋体"/>
                <w:szCs w:val="21"/>
              </w:rPr>
            </w:pPr>
            <w:r>
              <w:rPr>
                <w:rFonts w:hint="eastAsia" w:ascii="宋体" w:hAnsi="宋体" w:cs="宋体"/>
                <w:szCs w:val="21"/>
              </w:rPr>
              <w:t>13.2柜外安装2只枪机摄像头，带有夜间红外监控功能，分辨率不小于960P；</w:t>
            </w:r>
          </w:p>
          <w:p w14:paraId="28DFE92A">
            <w:pPr>
              <w:spacing w:line="400" w:lineRule="exact"/>
              <w:rPr>
                <w:rFonts w:ascii="宋体" w:hAnsi="宋体" w:cs="宋体"/>
                <w:szCs w:val="21"/>
              </w:rPr>
            </w:pPr>
            <w:r>
              <w:rPr>
                <w:rFonts w:hint="eastAsia" w:ascii="宋体" w:hAnsi="宋体" w:cs="宋体"/>
                <w:szCs w:val="21"/>
              </w:rPr>
              <w:t>13.3柜内外摄像头组成视频监控网络，采用POE组网；</w:t>
            </w:r>
          </w:p>
          <w:p w14:paraId="5230C90E">
            <w:pPr>
              <w:spacing w:line="400" w:lineRule="exact"/>
              <w:rPr>
                <w:rFonts w:ascii="宋体" w:hAnsi="宋体" w:cs="宋体"/>
                <w:szCs w:val="21"/>
              </w:rPr>
            </w:pPr>
            <w:r>
              <w:rPr>
                <w:rFonts w:hint="eastAsia" w:ascii="宋体" w:hAnsi="宋体" w:cs="宋体"/>
                <w:szCs w:val="21"/>
              </w:rPr>
              <w:t>13.4监控留有网络端口，可与校内的总监控系统对接；</w:t>
            </w:r>
          </w:p>
          <w:p w14:paraId="07D4660A">
            <w:pPr>
              <w:rPr>
                <w:rFonts w:ascii="宋体" w:hAnsi="宋体" w:cs="宋体"/>
                <w:szCs w:val="21"/>
              </w:rPr>
            </w:pPr>
            <w:r>
              <w:rPr>
                <w:rFonts w:hint="eastAsia" w:ascii="宋体" w:hAnsi="宋体" w:cs="宋体"/>
                <w:szCs w:val="21"/>
              </w:rPr>
              <w:t>13.5视频监控系统带存储记忆功能，可记录三个月以上监控数据，可以在手机、电脑上随时查看。</w:t>
            </w:r>
          </w:p>
        </w:tc>
      </w:tr>
      <w:tr w14:paraId="3716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14B5B98B">
            <w:pPr>
              <w:rPr>
                <w:rFonts w:ascii="宋体" w:hAnsi="宋体" w:cs="宋体"/>
                <w:b/>
                <w:bCs/>
                <w:szCs w:val="21"/>
              </w:rPr>
            </w:pPr>
          </w:p>
        </w:tc>
        <w:tc>
          <w:tcPr>
            <w:tcW w:w="1085" w:type="dxa"/>
            <w:vMerge w:val="continue"/>
          </w:tcPr>
          <w:p w14:paraId="4AF9422E">
            <w:pPr>
              <w:rPr>
                <w:rFonts w:ascii="宋体" w:hAnsi="宋体" w:cs="宋体"/>
                <w:b/>
                <w:bCs/>
                <w:szCs w:val="21"/>
              </w:rPr>
            </w:pPr>
          </w:p>
        </w:tc>
        <w:tc>
          <w:tcPr>
            <w:tcW w:w="737" w:type="dxa"/>
            <w:vMerge w:val="continue"/>
          </w:tcPr>
          <w:p w14:paraId="68A3213C">
            <w:pPr>
              <w:rPr>
                <w:rFonts w:ascii="宋体" w:hAnsi="宋体" w:cs="宋体"/>
                <w:b/>
                <w:bCs/>
                <w:szCs w:val="21"/>
              </w:rPr>
            </w:pPr>
          </w:p>
        </w:tc>
        <w:tc>
          <w:tcPr>
            <w:tcW w:w="913" w:type="dxa"/>
            <w:vMerge w:val="continue"/>
          </w:tcPr>
          <w:p w14:paraId="6187564B">
            <w:pPr>
              <w:rPr>
                <w:rFonts w:ascii="宋体" w:hAnsi="宋体" w:cs="宋体"/>
                <w:b/>
                <w:bCs/>
                <w:szCs w:val="21"/>
              </w:rPr>
            </w:pPr>
          </w:p>
        </w:tc>
        <w:tc>
          <w:tcPr>
            <w:tcW w:w="7004" w:type="dxa"/>
          </w:tcPr>
          <w:p w14:paraId="0C878C2B">
            <w:pPr>
              <w:rPr>
                <w:rFonts w:ascii="宋体" w:hAnsi="宋体" w:cs="宋体"/>
                <w:szCs w:val="21"/>
              </w:rPr>
            </w:pPr>
            <w:r>
              <w:rPr>
                <w:rFonts w:hint="eastAsia" w:ascii="宋体" w:hAnsi="宋体" w:cs="宋体"/>
                <w:b/>
                <w:bCs/>
                <w:szCs w:val="21"/>
              </w:rPr>
              <w:t>14、避雷措施</w:t>
            </w:r>
          </w:p>
        </w:tc>
      </w:tr>
      <w:tr w14:paraId="1B69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438" w:type="dxa"/>
            <w:vMerge w:val="continue"/>
          </w:tcPr>
          <w:p w14:paraId="01A6C6D4">
            <w:pPr>
              <w:rPr>
                <w:rFonts w:ascii="宋体" w:hAnsi="宋体" w:cs="宋体"/>
                <w:szCs w:val="21"/>
              </w:rPr>
            </w:pPr>
          </w:p>
        </w:tc>
        <w:tc>
          <w:tcPr>
            <w:tcW w:w="1085" w:type="dxa"/>
            <w:vMerge w:val="continue"/>
          </w:tcPr>
          <w:p w14:paraId="53BB57A4">
            <w:pPr>
              <w:rPr>
                <w:rFonts w:ascii="宋体" w:hAnsi="宋体" w:cs="宋体"/>
                <w:szCs w:val="21"/>
              </w:rPr>
            </w:pPr>
          </w:p>
        </w:tc>
        <w:tc>
          <w:tcPr>
            <w:tcW w:w="737" w:type="dxa"/>
            <w:vMerge w:val="continue"/>
          </w:tcPr>
          <w:p w14:paraId="2605349B">
            <w:pPr>
              <w:rPr>
                <w:rFonts w:ascii="宋体" w:hAnsi="宋体" w:cs="宋体"/>
                <w:szCs w:val="21"/>
              </w:rPr>
            </w:pPr>
          </w:p>
        </w:tc>
        <w:tc>
          <w:tcPr>
            <w:tcW w:w="913" w:type="dxa"/>
            <w:vMerge w:val="continue"/>
          </w:tcPr>
          <w:p w14:paraId="5235E64D">
            <w:pPr>
              <w:rPr>
                <w:rFonts w:ascii="宋体" w:hAnsi="宋体" w:cs="宋体"/>
                <w:szCs w:val="21"/>
              </w:rPr>
            </w:pPr>
          </w:p>
        </w:tc>
        <w:tc>
          <w:tcPr>
            <w:tcW w:w="7004" w:type="dxa"/>
          </w:tcPr>
          <w:p w14:paraId="228618F2">
            <w:pPr>
              <w:spacing w:line="400" w:lineRule="exact"/>
              <w:rPr>
                <w:rFonts w:hint="eastAsia" w:ascii="宋体" w:hAnsi="宋体" w:eastAsia="宋体" w:cs="宋体"/>
                <w:szCs w:val="21"/>
                <w:lang w:eastAsia="zh-CN"/>
              </w:rPr>
            </w:pPr>
            <w:r>
              <w:rPr>
                <w:rFonts w:hint="eastAsia" w:ascii="宋体" w:hAnsi="宋体" w:cs="宋体"/>
                <w:szCs w:val="21"/>
              </w:rPr>
              <w:t>14.1主电源接入处安装有独立的防雷击浪涌保护器</w:t>
            </w:r>
            <w:r>
              <w:rPr>
                <w:rFonts w:hint="eastAsia" w:ascii="宋体" w:hAnsi="宋体" w:cs="宋体"/>
                <w:szCs w:val="21"/>
                <w:lang w:eastAsia="zh-CN"/>
              </w:rPr>
              <w:t>。</w:t>
            </w:r>
          </w:p>
          <w:p w14:paraId="05912F30">
            <w:pPr>
              <w:spacing w:line="400" w:lineRule="exact"/>
              <w:rPr>
                <w:rFonts w:ascii="宋体" w:hAnsi="宋体" w:cs="宋体"/>
                <w:szCs w:val="21"/>
              </w:rPr>
            </w:pPr>
            <w:r>
              <w:rPr>
                <w:rFonts w:hint="eastAsia" w:ascii="宋体" w:hAnsi="宋体" w:cs="宋体"/>
                <w:szCs w:val="21"/>
              </w:rPr>
              <w:t>14.2柜体外装设独立避雷针，使柜体和突出物体均处于接闪器的保护范围内，或通过合理方式达到整体避雷效果。</w:t>
            </w:r>
          </w:p>
          <w:p w14:paraId="72D17729">
            <w:pPr>
              <w:rPr>
                <w:rFonts w:ascii="宋体" w:hAnsi="宋体" w:cs="宋体"/>
                <w:szCs w:val="21"/>
              </w:rPr>
            </w:pPr>
            <w:r>
              <w:rPr>
                <w:rFonts w:hint="eastAsia" w:ascii="宋体" w:hAnsi="宋体" w:cs="宋体"/>
                <w:szCs w:val="21"/>
              </w:rPr>
              <w:t>柜体的防雷设计符合相关《防雷装置检测技术规范》的要求，通过SJ/T10694-2006 防静电通用规范、符合GB/T21431-2015、GT/T32937-2016、DB11/T643-2018、DB42/T513-2008、GB50057-2010、GB50343-2012、GB50601-2010、GB12158-2006等防雷防静电装置检测规范。</w:t>
            </w:r>
          </w:p>
        </w:tc>
      </w:tr>
      <w:tr w14:paraId="26E0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7A0516FA">
            <w:pPr>
              <w:rPr>
                <w:rFonts w:ascii="宋体" w:hAnsi="宋体" w:cs="宋体"/>
                <w:b/>
                <w:bCs/>
                <w:szCs w:val="21"/>
              </w:rPr>
            </w:pPr>
          </w:p>
        </w:tc>
        <w:tc>
          <w:tcPr>
            <w:tcW w:w="1085" w:type="dxa"/>
            <w:vMerge w:val="continue"/>
          </w:tcPr>
          <w:p w14:paraId="44E1CB09">
            <w:pPr>
              <w:rPr>
                <w:rFonts w:ascii="宋体" w:hAnsi="宋体" w:cs="宋体"/>
                <w:b/>
                <w:bCs/>
                <w:szCs w:val="21"/>
              </w:rPr>
            </w:pPr>
          </w:p>
        </w:tc>
        <w:tc>
          <w:tcPr>
            <w:tcW w:w="737" w:type="dxa"/>
            <w:vMerge w:val="continue"/>
          </w:tcPr>
          <w:p w14:paraId="38C8AA85">
            <w:pPr>
              <w:rPr>
                <w:rFonts w:ascii="宋体" w:hAnsi="宋体" w:cs="宋体"/>
                <w:b/>
                <w:bCs/>
                <w:szCs w:val="21"/>
              </w:rPr>
            </w:pPr>
          </w:p>
        </w:tc>
        <w:tc>
          <w:tcPr>
            <w:tcW w:w="913" w:type="dxa"/>
            <w:vMerge w:val="continue"/>
          </w:tcPr>
          <w:p w14:paraId="431014A3">
            <w:pPr>
              <w:rPr>
                <w:rFonts w:ascii="宋体" w:hAnsi="宋体" w:cs="宋体"/>
                <w:b/>
                <w:bCs/>
                <w:szCs w:val="21"/>
              </w:rPr>
            </w:pPr>
          </w:p>
        </w:tc>
        <w:tc>
          <w:tcPr>
            <w:tcW w:w="7004" w:type="dxa"/>
          </w:tcPr>
          <w:p w14:paraId="642DB421">
            <w:pPr>
              <w:rPr>
                <w:rFonts w:ascii="宋体" w:hAnsi="宋体" w:cs="宋体"/>
                <w:szCs w:val="21"/>
              </w:rPr>
            </w:pPr>
            <w:r>
              <w:rPr>
                <w:rFonts w:hint="eastAsia" w:ascii="宋体" w:hAnsi="宋体" w:cs="宋体"/>
                <w:b/>
                <w:bCs/>
                <w:szCs w:val="21"/>
              </w:rPr>
              <w:t>15、安全标识、标牌与说明</w:t>
            </w:r>
          </w:p>
        </w:tc>
      </w:tr>
      <w:tr w14:paraId="1678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438" w:type="dxa"/>
            <w:vMerge w:val="continue"/>
          </w:tcPr>
          <w:p w14:paraId="6F0C36E7">
            <w:pPr>
              <w:rPr>
                <w:rFonts w:ascii="宋体" w:hAnsi="宋体" w:cs="宋体"/>
                <w:szCs w:val="21"/>
              </w:rPr>
            </w:pPr>
          </w:p>
        </w:tc>
        <w:tc>
          <w:tcPr>
            <w:tcW w:w="1085" w:type="dxa"/>
            <w:vMerge w:val="continue"/>
          </w:tcPr>
          <w:p w14:paraId="7121AFC9">
            <w:pPr>
              <w:rPr>
                <w:rFonts w:ascii="宋体" w:hAnsi="宋体" w:cs="宋体"/>
                <w:szCs w:val="21"/>
              </w:rPr>
            </w:pPr>
          </w:p>
        </w:tc>
        <w:tc>
          <w:tcPr>
            <w:tcW w:w="737" w:type="dxa"/>
            <w:vMerge w:val="continue"/>
          </w:tcPr>
          <w:p w14:paraId="359EAEE0">
            <w:pPr>
              <w:rPr>
                <w:rFonts w:ascii="宋体" w:hAnsi="宋体" w:cs="宋体"/>
                <w:szCs w:val="21"/>
              </w:rPr>
            </w:pPr>
          </w:p>
        </w:tc>
        <w:tc>
          <w:tcPr>
            <w:tcW w:w="913" w:type="dxa"/>
            <w:vMerge w:val="continue"/>
          </w:tcPr>
          <w:p w14:paraId="16A0FDD3">
            <w:pPr>
              <w:rPr>
                <w:rFonts w:ascii="宋体" w:hAnsi="宋体" w:cs="宋体"/>
                <w:szCs w:val="21"/>
              </w:rPr>
            </w:pPr>
          </w:p>
        </w:tc>
        <w:tc>
          <w:tcPr>
            <w:tcW w:w="7004" w:type="dxa"/>
          </w:tcPr>
          <w:p w14:paraId="0B2D9D93">
            <w:pPr>
              <w:rPr>
                <w:rFonts w:ascii="宋体" w:hAnsi="宋体" w:cs="宋体"/>
                <w:szCs w:val="21"/>
              </w:rPr>
            </w:pPr>
            <w:r>
              <w:rPr>
                <w:rFonts w:hint="eastAsia" w:ascii="宋体" w:hAnsi="宋体" w:cs="宋体"/>
                <w:szCs w:val="21"/>
              </w:rPr>
              <w:t>15.1在明显位置张贴有安全警示标识，安全标识符合GHS《全球化学品统一分类和标签制度》规定（标识采用耐腐蚀材质）；柜内配备可以挂置各种用户自备铭牌的装置；设备具有使用说明书，其内容包括：控制系统使用说明，灭火器使用说明，储存柜架使用说明，逃生门使用说明，个人防护用品使用说明等。</w:t>
            </w:r>
          </w:p>
        </w:tc>
      </w:tr>
      <w:tr w14:paraId="2928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438" w:type="dxa"/>
            <w:vMerge w:val="continue"/>
          </w:tcPr>
          <w:p w14:paraId="26A5B297">
            <w:pPr>
              <w:rPr>
                <w:rFonts w:ascii="宋体" w:hAnsi="宋体" w:cs="宋体"/>
                <w:b/>
                <w:bCs/>
                <w:szCs w:val="21"/>
              </w:rPr>
            </w:pPr>
          </w:p>
        </w:tc>
        <w:tc>
          <w:tcPr>
            <w:tcW w:w="1085" w:type="dxa"/>
            <w:vMerge w:val="continue"/>
          </w:tcPr>
          <w:p w14:paraId="01F12677">
            <w:pPr>
              <w:rPr>
                <w:rFonts w:ascii="宋体" w:hAnsi="宋体" w:cs="宋体"/>
                <w:b/>
                <w:bCs/>
                <w:szCs w:val="21"/>
              </w:rPr>
            </w:pPr>
          </w:p>
        </w:tc>
        <w:tc>
          <w:tcPr>
            <w:tcW w:w="737" w:type="dxa"/>
            <w:vMerge w:val="continue"/>
          </w:tcPr>
          <w:p w14:paraId="5C666166">
            <w:pPr>
              <w:rPr>
                <w:rFonts w:ascii="宋体" w:hAnsi="宋体" w:cs="宋体"/>
                <w:b/>
                <w:bCs/>
                <w:szCs w:val="21"/>
              </w:rPr>
            </w:pPr>
          </w:p>
        </w:tc>
        <w:tc>
          <w:tcPr>
            <w:tcW w:w="913" w:type="dxa"/>
            <w:vMerge w:val="continue"/>
          </w:tcPr>
          <w:p w14:paraId="51D293B6">
            <w:pPr>
              <w:rPr>
                <w:rFonts w:ascii="宋体" w:hAnsi="宋体" w:cs="宋体"/>
                <w:b/>
                <w:bCs/>
                <w:szCs w:val="21"/>
              </w:rPr>
            </w:pPr>
          </w:p>
        </w:tc>
        <w:tc>
          <w:tcPr>
            <w:tcW w:w="7004" w:type="dxa"/>
          </w:tcPr>
          <w:p w14:paraId="7E1DEBEA">
            <w:pPr>
              <w:rPr>
                <w:rFonts w:ascii="宋体" w:hAnsi="宋体" w:cs="宋体"/>
                <w:szCs w:val="21"/>
              </w:rPr>
            </w:pPr>
            <w:r>
              <w:rPr>
                <w:rFonts w:hint="eastAsia" w:ascii="宋体" w:hAnsi="宋体" w:cs="宋体"/>
                <w:b/>
                <w:bCs/>
                <w:szCs w:val="21"/>
              </w:rPr>
              <w:t>16、智能门禁</w:t>
            </w:r>
          </w:p>
        </w:tc>
      </w:tr>
      <w:tr w14:paraId="2024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438" w:type="dxa"/>
            <w:vMerge w:val="continue"/>
          </w:tcPr>
          <w:p w14:paraId="38982776">
            <w:pPr>
              <w:rPr>
                <w:rFonts w:ascii="宋体" w:hAnsi="宋体" w:cs="宋体"/>
                <w:szCs w:val="21"/>
              </w:rPr>
            </w:pPr>
          </w:p>
        </w:tc>
        <w:tc>
          <w:tcPr>
            <w:tcW w:w="1085" w:type="dxa"/>
            <w:vMerge w:val="continue"/>
          </w:tcPr>
          <w:p w14:paraId="39671C89">
            <w:pPr>
              <w:rPr>
                <w:rFonts w:ascii="宋体" w:hAnsi="宋体" w:cs="宋体"/>
                <w:szCs w:val="21"/>
              </w:rPr>
            </w:pPr>
          </w:p>
        </w:tc>
        <w:tc>
          <w:tcPr>
            <w:tcW w:w="737" w:type="dxa"/>
            <w:vMerge w:val="continue"/>
          </w:tcPr>
          <w:p w14:paraId="597D770B">
            <w:pPr>
              <w:rPr>
                <w:rFonts w:ascii="宋体" w:hAnsi="宋体" w:cs="宋体"/>
                <w:szCs w:val="21"/>
              </w:rPr>
            </w:pPr>
          </w:p>
        </w:tc>
        <w:tc>
          <w:tcPr>
            <w:tcW w:w="913" w:type="dxa"/>
            <w:vMerge w:val="continue"/>
          </w:tcPr>
          <w:p w14:paraId="3DB8E36A">
            <w:pPr>
              <w:rPr>
                <w:rFonts w:ascii="宋体" w:hAnsi="宋体" w:cs="宋体"/>
                <w:szCs w:val="21"/>
              </w:rPr>
            </w:pPr>
          </w:p>
        </w:tc>
        <w:tc>
          <w:tcPr>
            <w:tcW w:w="7004" w:type="dxa"/>
          </w:tcPr>
          <w:p w14:paraId="3150F195">
            <w:pPr>
              <w:spacing w:line="400" w:lineRule="exact"/>
              <w:rPr>
                <w:rFonts w:ascii="宋体" w:hAnsi="宋体" w:cs="宋体"/>
                <w:szCs w:val="21"/>
              </w:rPr>
            </w:pPr>
            <w:r>
              <w:rPr>
                <w:rFonts w:hint="eastAsia" w:ascii="宋体" w:hAnsi="宋体" w:cs="宋体"/>
                <w:szCs w:val="21"/>
              </w:rPr>
              <w:t>16.1配置机械锁及智能门禁系统</w:t>
            </w:r>
          </w:p>
          <w:p w14:paraId="6ABA3C96">
            <w:pPr>
              <w:rPr>
                <w:rFonts w:ascii="宋体" w:hAnsi="宋体" w:cs="宋体"/>
                <w:szCs w:val="21"/>
              </w:rPr>
            </w:pPr>
            <w:r>
              <w:rPr>
                <w:rFonts w:hint="eastAsia" w:ascii="宋体" w:hAnsi="宋体" w:cs="宋体"/>
                <w:szCs w:val="21"/>
              </w:rPr>
              <w:t>16.2 门禁配置5.5寸屏幕（双目摄像头200万像素） 可通过人脸、刷卡（手机NFC开门） 、密码等方式开门，容量各5000人，具备 IP（67）防水等级，可设置常开时间段，通行时间组，支持手机远程开门。</w:t>
            </w:r>
          </w:p>
        </w:tc>
      </w:tr>
      <w:tr w14:paraId="1BC0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7F65691E">
            <w:pPr>
              <w:rPr>
                <w:rFonts w:ascii="宋体" w:hAnsi="宋体" w:cs="宋体"/>
                <w:b/>
                <w:bCs/>
                <w:szCs w:val="21"/>
              </w:rPr>
            </w:pPr>
          </w:p>
        </w:tc>
        <w:tc>
          <w:tcPr>
            <w:tcW w:w="1085" w:type="dxa"/>
            <w:vMerge w:val="continue"/>
          </w:tcPr>
          <w:p w14:paraId="27FA28FD">
            <w:pPr>
              <w:rPr>
                <w:rFonts w:ascii="宋体" w:hAnsi="宋体" w:cs="宋体"/>
                <w:b/>
                <w:bCs/>
                <w:szCs w:val="21"/>
              </w:rPr>
            </w:pPr>
          </w:p>
        </w:tc>
        <w:tc>
          <w:tcPr>
            <w:tcW w:w="737" w:type="dxa"/>
            <w:vMerge w:val="continue"/>
          </w:tcPr>
          <w:p w14:paraId="30C72262">
            <w:pPr>
              <w:rPr>
                <w:rFonts w:ascii="宋体" w:hAnsi="宋体" w:cs="宋体"/>
                <w:b/>
                <w:bCs/>
                <w:szCs w:val="21"/>
              </w:rPr>
            </w:pPr>
          </w:p>
        </w:tc>
        <w:tc>
          <w:tcPr>
            <w:tcW w:w="913" w:type="dxa"/>
            <w:vMerge w:val="continue"/>
          </w:tcPr>
          <w:p w14:paraId="79D8C310">
            <w:pPr>
              <w:rPr>
                <w:rFonts w:ascii="宋体" w:hAnsi="宋体" w:cs="宋体"/>
                <w:b/>
                <w:bCs/>
                <w:szCs w:val="21"/>
              </w:rPr>
            </w:pPr>
          </w:p>
        </w:tc>
        <w:tc>
          <w:tcPr>
            <w:tcW w:w="7004" w:type="dxa"/>
          </w:tcPr>
          <w:p w14:paraId="2E664580">
            <w:pPr>
              <w:rPr>
                <w:rFonts w:ascii="宋体" w:hAnsi="宋体" w:cs="宋体"/>
                <w:szCs w:val="21"/>
              </w:rPr>
            </w:pPr>
            <w:r>
              <w:rPr>
                <w:rFonts w:hint="eastAsia" w:ascii="宋体" w:hAnsi="宋体" w:cs="宋体"/>
                <w:b/>
                <w:bCs/>
                <w:szCs w:val="21"/>
              </w:rPr>
              <w:t>17、远程在线实时监控系统</w:t>
            </w:r>
          </w:p>
        </w:tc>
      </w:tr>
      <w:tr w14:paraId="2B04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438" w:type="dxa"/>
            <w:vMerge w:val="continue"/>
          </w:tcPr>
          <w:p w14:paraId="280AACB8">
            <w:pPr>
              <w:rPr>
                <w:rFonts w:ascii="宋体" w:hAnsi="宋体" w:cs="宋体"/>
                <w:szCs w:val="21"/>
              </w:rPr>
            </w:pPr>
          </w:p>
        </w:tc>
        <w:tc>
          <w:tcPr>
            <w:tcW w:w="1085" w:type="dxa"/>
            <w:vMerge w:val="continue"/>
          </w:tcPr>
          <w:p w14:paraId="266FDA58">
            <w:pPr>
              <w:rPr>
                <w:rFonts w:ascii="宋体" w:hAnsi="宋体" w:cs="宋体"/>
                <w:szCs w:val="21"/>
              </w:rPr>
            </w:pPr>
          </w:p>
        </w:tc>
        <w:tc>
          <w:tcPr>
            <w:tcW w:w="737" w:type="dxa"/>
            <w:vMerge w:val="continue"/>
          </w:tcPr>
          <w:p w14:paraId="34084043">
            <w:pPr>
              <w:rPr>
                <w:rFonts w:ascii="宋体" w:hAnsi="宋体" w:cs="宋体"/>
                <w:szCs w:val="21"/>
              </w:rPr>
            </w:pPr>
          </w:p>
        </w:tc>
        <w:tc>
          <w:tcPr>
            <w:tcW w:w="913" w:type="dxa"/>
            <w:vMerge w:val="continue"/>
          </w:tcPr>
          <w:p w14:paraId="11211023">
            <w:pPr>
              <w:rPr>
                <w:rFonts w:ascii="宋体" w:hAnsi="宋体" w:cs="宋体"/>
                <w:szCs w:val="21"/>
              </w:rPr>
            </w:pPr>
          </w:p>
        </w:tc>
        <w:tc>
          <w:tcPr>
            <w:tcW w:w="7004" w:type="dxa"/>
          </w:tcPr>
          <w:p w14:paraId="0101DEDA">
            <w:pPr>
              <w:spacing w:line="400" w:lineRule="exact"/>
              <w:rPr>
                <w:rFonts w:ascii="宋体" w:hAnsi="宋体" w:cs="宋体"/>
                <w:szCs w:val="21"/>
              </w:rPr>
            </w:pPr>
            <w:r>
              <w:rPr>
                <w:rFonts w:hint="eastAsia" w:ascii="宋体" w:hAnsi="宋体" w:cs="宋体"/>
                <w:szCs w:val="21"/>
              </w:rPr>
              <w:t>17.1主板上配置850/900/1800/1900MHz四频数据通信模块。</w:t>
            </w:r>
          </w:p>
          <w:p w14:paraId="72A2FB02">
            <w:pPr>
              <w:rPr>
                <w:rFonts w:hint="eastAsia" w:ascii="宋体" w:hAnsi="宋体" w:eastAsia="宋体" w:cs="宋体"/>
                <w:szCs w:val="21"/>
                <w:lang w:eastAsia="zh-CN"/>
              </w:rPr>
            </w:pPr>
            <w:r>
              <w:rPr>
                <w:rFonts w:hint="eastAsia" w:ascii="宋体" w:hAnsi="宋体" w:cs="宋体"/>
                <w:szCs w:val="21"/>
              </w:rPr>
              <w:t>17.2提供远程云监测服务，开通云监测服务后，数据通信模块将暂存柜系统的各项参数发送到专有云服务平台，云监测系统24小时远程监测暂存柜系统的各项参数指标，当达到设定值时，云监测系统会自动发送短信通知提醒客户注意，更当温度或者可燃气体浓度超过设定安全值时，控制系统还会通过语音电话等方式向用户发送警报通知</w:t>
            </w:r>
            <w:r>
              <w:rPr>
                <w:rFonts w:hint="eastAsia" w:ascii="宋体" w:hAnsi="宋体" w:cs="宋体"/>
                <w:szCs w:val="21"/>
                <w:lang w:eastAsia="zh-CN"/>
              </w:rPr>
              <w:t>。</w:t>
            </w:r>
          </w:p>
        </w:tc>
      </w:tr>
      <w:tr w14:paraId="717F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59D5DAE7">
            <w:pPr>
              <w:rPr>
                <w:rFonts w:ascii="宋体" w:hAnsi="宋体" w:cs="宋体"/>
                <w:b/>
                <w:bCs/>
                <w:szCs w:val="21"/>
              </w:rPr>
            </w:pPr>
          </w:p>
        </w:tc>
        <w:tc>
          <w:tcPr>
            <w:tcW w:w="1085" w:type="dxa"/>
            <w:vMerge w:val="continue"/>
          </w:tcPr>
          <w:p w14:paraId="345108FB">
            <w:pPr>
              <w:rPr>
                <w:rFonts w:ascii="宋体" w:hAnsi="宋体" w:cs="宋体"/>
                <w:b/>
                <w:bCs/>
                <w:szCs w:val="21"/>
              </w:rPr>
            </w:pPr>
          </w:p>
        </w:tc>
        <w:tc>
          <w:tcPr>
            <w:tcW w:w="737" w:type="dxa"/>
            <w:vMerge w:val="continue"/>
          </w:tcPr>
          <w:p w14:paraId="761B39C1">
            <w:pPr>
              <w:rPr>
                <w:rFonts w:ascii="宋体" w:hAnsi="宋体" w:cs="宋体"/>
                <w:b/>
                <w:bCs/>
                <w:szCs w:val="21"/>
              </w:rPr>
            </w:pPr>
          </w:p>
        </w:tc>
        <w:tc>
          <w:tcPr>
            <w:tcW w:w="913" w:type="dxa"/>
            <w:vMerge w:val="continue"/>
          </w:tcPr>
          <w:p w14:paraId="23CC8FD7">
            <w:pPr>
              <w:rPr>
                <w:rFonts w:ascii="宋体" w:hAnsi="宋体" w:cs="宋体"/>
                <w:b/>
                <w:bCs/>
                <w:szCs w:val="21"/>
              </w:rPr>
            </w:pPr>
          </w:p>
        </w:tc>
        <w:tc>
          <w:tcPr>
            <w:tcW w:w="7004" w:type="dxa"/>
          </w:tcPr>
          <w:p w14:paraId="188C6CB7">
            <w:pPr>
              <w:rPr>
                <w:rFonts w:ascii="宋体" w:hAnsi="宋体" w:cs="宋体"/>
                <w:szCs w:val="21"/>
              </w:rPr>
            </w:pPr>
            <w:r>
              <w:rPr>
                <w:rFonts w:hint="eastAsia" w:ascii="宋体" w:hAnsi="宋体" w:cs="宋体"/>
                <w:b/>
                <w:bCs/>
                <w:szCs w:val="21"/>
              </w:rPr>
              <w:t>18、云端后台管理系统</w:t>
            </w:r>
          </w:p>
        </w:tc>
      </w:tr>
      <w:tr w14:paraId="112A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438" w:type="dxa"/>
            <w:vMerge w:val="continue"/>
          </w:tcPr>
          <w:p w14:paraId="37BA369D">
            <w:pPr>
              <w:rPr>
                <w:rFonts w:ascii="宋体" w:hAnsi="宋体" w:cs="宋体"/>
                <w:szCs w:val="21"/>
              </w:rPr>
            </w:pPr>
          </w:p>
        </w:tc>
        <w:tc>
          <w:tcPr>
            <w:tcW w:w="1085" w:type="dxa"/>
            <w:vMerge w:val="continue"/>
          </w:tcPr>
          <w:p w14:paraId="113E3268">
            <w:pPr>
              <w:rPr>
                <w:rFonts w:ascii="宋体" w:hAnsi="宋体" w:cs="宋体"/>
                <w:szCs w:val="21"/>
              </w:rPr>
            </w:pPr>
          </w:p>
        </w:tc>
        <w:tc>
          <w:tcPr>
            <w:tcW w:w="737" w:type="dxa"/>
            <w:vMerge w:val="continue"/>
          </w:tcPr>
          <w:p w14:paraId="58A5E954">
            <w:pPr>
              <w:rPr>
                <w:rFonts w:ascii="宋体" w:hAnsi="宋体" w:cs="宋体"/>
                <w:szCs w:val="21"/>
              </w:rPr>
            </w:pPr>
          </w:p>
        </w:tc>
        <w:tc>
          <w:tcPr>
            <w:tcW w:w="913" w:type="dxa"/>
            <w:vMerge w:val="continue"/>
          </w:tcPr>
          <w:p w14:paraId="4E902774">
            <w:pPr>
              <w:rPr>
                <w:rFonts w:ascii="宋体" w:hAnsi="宋体" w:cs="宋体"/>
                <w:szCs w:val="21"/>
              </w:rPr>
            </w:pPr>
          </w:p>
        </w:tc>
        <w:tc>
          <w:tcPr>
            <w:tcW w:w="7004" w:type="dxa"/>
          </w:tcPr>
          <w:p w14:paraId="065921EC">
            <w:pPr>
              <w:spacing w:line="400" w:lineRule="exact"/>
              <w:rPr>
                <w:rFonts w:ascii="宋体" w:hAnsi="宋体" w:cs="宋体"/>
                <w:szCs w:val="21"/>
              </w:rPr>
            </w:pPr>
            <w:r>
              <w:rPr>
                <w:rFonts w:hint="eastAsia" w:ascii="宋体" w:hAnsi="宋体" w:cs="宋体"/>
                <w:szCs w:val="21"/>
              </w:rPr>
              <w:t>18.1用户可通过PC或移动设备登陆云端后台管理系统，对实验室废弃物暂存柜系统内各电气设备进行远程设置（开启或关闭）、运行操作（各电器设备阈值设置）和远程管理等。</w:t>
            </w:r>
          </w:p>
          <w:p w14:paraId="1920A4A3">
            <w:pPr>
              <w:spacing w:line="400" w:lineRule="exact"/>
              <w:rPr>
                <w:rFonts w:ascii="宋体" w:hAnsi="宋体" w:cs="宋体"/>
                <w:szCs w:val="21"/>
              </w:rPr>
            </w:pPr>
            <w:r>
              <w:rPr>
                <w:rFonts w:hint="eastAsia" w:ascii="宋体" w:hAnsi="宋体" w:cs="宋体"/>
                <w:szCs w:val="21"/>
              </w:rPr>
              <w:t>18.2生产厂家也可通过云端后台管理系统，对出厂的每套设备提供远程在线维护及售后检修。实现产品“控制管理”和“企业管理”的技术效果。</w:t>
            </w:r>
          </w:p>
          <w:p w14:paraId="5BE74388">
            <w:pPr>
              <w:spacing w:line="400" w:lineRule="exact"/>
              <w:rPr>
                <w:rFonts w:ascii="宋体" w:hAnsi="宋体" w:cs="宋体"/>
                <w:szCs w:val="21"/>
              </w:rPr>
            </w:pPr>
            <w:r>
              <w:rPr>
                <w:rFonts w:hint="eastAsia" w:ascii="Calibri" w:hAnsi="Calibri"/>
                <w:kern w:val="0"/>
              </w:rPr>
              <w:t>▲</w:t>
            </w:r>
            <w:r>
              <w:rPr>
                <w:rFonts w:hint="eastAsia" w:ascii="宋体" w:hAnsi="宋体" w:cs="宋体"/>
                <w:szCs w:val="21"/>
              </w:rPr>
              <w:t>18.3智能维保管理（投标演示</w:t>
            </w:r>
            <w:r>
              <w:rPr>
                <w:rFonts w:hint="eastAsia" w:ascii="宋体" w:hAnsi="宋体" w:cs="宋体"/>
                <w:szCs w:val="21"/>
                <w:lang w:val="en-US" w:eastAsia="zh-CN"/>
              </w:rPr>
              <w:t>视频</w:t>
            </w:r>
            <w:r>
              <w:rPr>
                <w:rFonts w:hint="eastAsia" w:ascii="宋体" w:hAnsi="宋体" w:cs="宋体"/>
                <w:szCs w:val="21"/>
              </w:rPr>
              <w:t>）</w:t>
            </w:r>
          </w:p>
          <w:p w14:paraId="2BEBC9B9">
            <w:pPr>
              <w:spacing w:line="400" w:lineRule="exact"/>
              <w:rPr>
                <w:rFonts w:ascii="宋体" w:hAnsi="宋体" w:cs="宋体"/>
                <w:szCs w:val="21"/>
              </w:rPr>
            </w:pPr>
            <w:r>
              <w:rPr>
                <w:rFonts w:hint="eastAsia" w:ascii="宋体" w:hAnsi="宋体" w:cs="宋体"/>
                <w:szCs w:val="21"/>
              </w:rPr>
              <w:t>18.3.1.设备具备智能在线售后维保系统，可快速解决售后问题，运维总览包含：巡检统计、保养统计、报修统计、工单统计，需在同一页面显示，可直观查看运维数据。</w:t>
            </w:r>
          </w:p>
          <w:p w14:paraId="744576D1">
            <w:pPr>
              <w:spacing w:line="400" w:lineRule="exact"/>
              <w:rPr>
                <w:rFonts w:ascii="宋体" w:hAnsi="宋体" w:cs="宋体"/>
                <w:szCs w:val="21"/>
              </w:rPr>
            </w:pPr>
            <w:r>
              <w:rPr>
                <w:rFonts w:hint="eastAsia" w:ascii="宋体" w:hAnsi="宋体" w:cs="宋体"/>
                <w:szCs w:val="21"/>
              </w:rPr>
              <w:t>18.3.2.工单管理：可添加导出工单，根据时间、编号</w:t>
            </w:r>
            <w:r>
              <w:rPr>
                <w:rFonts w:hint="eastAsia" w:ascii="宋体" w:hAnsi="宋体" w:cs="宋体"/>
                <w:szCs w:val="21"/>
                <w:lang w:val="en-US" w:eastAsia="zh-CN"/>
              </w:rPr>
              <w:t>或</w:t>
            </w:r>
            <w:r>
              <w:rPr>
                <w:rFonts w:hint="eastAsia" w:ascii="宋体" w:hAnsi="宋体" w:cs="宋体"/>
                <w:szCs w:val="21"/>
              </w:rPr>
              <w:t>描述查看工单，可查看工单编号、生成时间、所属项目、工单进度、工单类型、工单人员、紧急程度、工单描述，并对此工单进行操作处理。</w:t>
            </w:r>
            <w:r>
              <w:rPr>
                <w:rFonts w:hint="eastAsia" w:ascii="宋体" w:hAnsi="宋体" w:cs="宋体"/>
                <w:b/>
                <w:bCs/>
                <w:szCs w:val="21"/>
              </w:rPr>
              <w:t>须提供系统截图</w:t>
            </w:r>
            <w:r>
              <w:rPr>
                <w:rFonts w:hint="eastAsia" w:ascii="宋体" w:hAnsi="宋体" w:cs="宋体"/>
                <w:szCs w:val="21"/>
              </w:rPr>
              <w:t>（截图中体现工单编号、生成时间、所属项目、工单进度、工单类型、工单人员、紧急程度、工单描述等，需在同一页面显示，页面自带横向滚动条）。</w:t>
            </w:r>
          </w:p>
          <w:p w14:paraId="0D192E03">
            <w:pPr>
              <w:spacing w:line="400" w:lineRule="exact"/>
              <w:rPr>
                <w:rFonts w:ascii="宋体" w:hAnsi="宋体" w:cs="宋体"/>
                <w:szCs w:val="21"/>
              </w:rPr>
            </w:pPr>
            <w:r>
              <w:rPr>
                <w:rFonts w:hint="eastAsia" w:ascii="宋体" w:hAnsi="宋体" w:cs="宋体"/>
                <w:szCs w:val="21"/>
              </w:rPr>
              <w:t>18.3.3.报修管理：包含新增及导出报修，可根据时间联系人或问题描述查询具体工单，可查看报修编号、报修时间、问题描述、报修进度、报修来源、紧急程度、联系人、联系电话、所属项目等，具备导出功能，</w:t>
            </w:r>
            <w:r>
              <w:rPr>
                <w:rFonts w:hint="eastAsia" w:ascii="宋体" w:hAnsi="宋体" w:cs="宋体"/>
                <w:b/>
                <w:bCs/>
                <w:szCs w:val="21"/>
              </w:rPr>
              <w:t>须提供系统截图</w:t>
            </w:r>
            <w:r>
              <w:rPr>
                <w:rFonts w:hint="eastAsia" w:ascii="宋体" w:hAnsi="宋体" w:cs="宋体"/>
                <w:szCs w:val="21"/>
              </w:rPr>
              <w:t>（截图中体现报修编号、报修时间、问题描述、报修进度、报修来源、紧急程度、联系人、联系电话、所属项目等，具备添加及导出功能等，需在同一页面显示，页面自带横向滚动条）。</w:t>
            </w:r>
          </w:p>
          <w:p w14:paraId="42CC9ADF">
            <w:pPr>
              <w:spacing w:line="400" w:lineRule="exact"/>
              <w:rPr>
                <w:rFonts w:ascii="宋体" w:hAnsi="宋体" w:cs="宋体"/>
                <w:szCs w:val="21"/>
              </w:rPr>
            </w:pPr>
            <w:r>
              <w:rPr>
                <w:rFonts w:hint="eastAsia" w:ascii="宋体" w:hAnsi="宋体" w:cs="宋体"/>
                <w:szCs w:val="21"/>
              </w:rPr>
              <w:t>18.3.4.保养管理：包含保养任务、保养记录、保养计划、保养内容，可根据时间、编号或描述查询具体保养记录，可查看保养编号、生成时间、所属项目、工单进度、工单类型、工单人员、保养描述等，具备导出功能，</w:t>
            </w:r>
            <w:r>
              <w:rPr>
                <w:rFonts w:hint="eastAsia" w:ascii="宋体" w:hAnsi="宋体" w:cs="宋体"/>
                <w:b/>
                <w:bCs/>
                <w:szCs w:val="21"/>
              </w:rPr>
              <w:t>须提供系统截图</w:t>
            </w:r>
            <w:r>
              <w:rPr>
                <w:rFonts w:hint="eastAsia" w:ascii="宋体" w:hAnsi="宋体" w:cs="宋体"/>
                <w:szCs w:val="21"/>
              </w:rPr>
              <w:t>（截图中体现保养编号、生成时间、所属项目、工单进度、工单类型、工单人员、保养描述等，需在同一页面显示，页面自带横向滚动条）。</w:t>
            </w:r>
          </w:p>
          <w:p w14:paraId="02FF8E24">
            <w:pPr>
              <w:spacing w:line="400" w:lineRule="exact"/>
              <w:rPr>
                <w:rFonts w:ascii="宋体" w:hAnsi="宋体" w:cs="宋体"/>
                <w:szCs w:val="21"/>
              </w:rPr>
            </w:pPr>
            <w:r>
              <w:rPr>
                <w:rFonts w:hint="eastAsia" w:ascii="宋体" w:hAnsi="宋体" w:cs="宋体"/>
                <w:szCs w:val="21"/>
              </w:rPr>
              <w:t>18.3.5.巡检管理：包含巡检任务、巡检记录、巡检计划、巡检内容，可根据时间、编号或描述查询具体巡检记录，可查看巡检编号、生成时间、所属项目、工单进度、工单类型、巡检人员、巡检描述等，</w:t>
            </w:r>
            <w:r>
              <w:rPr>
                <w:rFonts w:hint="eastAsia" w:ascii="宋体" w:hAnsi="宋体" w:cs="宋体"/>
                <w:b/>
                <w:bCs/>
                <w:szCs w:val="21"/>
              </w:rPr>
              <w:t>须提供系统截图</w:t>
            </w:r>
            <w:r>
              <w:rPr>
                <w:rFonts w:hint="eastAsia" w:ascii="宋体" w:hAnsi="宋体" w:cs="宋体"/>
                <w:szCs w:val="21"/>
              </w:rPr>
              <w:t>（截图中体现巡检编号、生成时间、所属项目、工单进度、工单类型、巡检人员、巡检描述等，需在同一页面显示，页面自带横向滚动条）。</w:t>
            </w:r>
          </w:p>
        </w:tc>
      </w:tr>
      <w:tr w14:paraId="4E61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4F4EFCC4">
            <w:pPr>
              <w:rPr>
                <w:rFonts w:ascii="宋体" w:hAnsi="宋体" w:cs="宋体"/>
                <w:b/>
                <w:bCs/>
                <w:szCs w:val="21"/>
              </w:rPr>
            </w:pPr>
          </w:p>
        </w:tc>
        <w:tc>
          <w:tcPr>
            <w:tcW w:w="1085" w:type="dxa"/>
            <w:vMerge w:val="continue"/>
          </w:tcPr>
          <w:p w14:paraId="52AE910E">
            <w:pPr>
              <w:rPr>
                <w:rFonts w:ascii="宋体" w:hAnsi="宋体" w:cs="宋体"/>
                <w:b/>
                <w:bCs/>
                <w:szCs w:val="21"/>
              </w:rPr>
            </w:pPr>
          </w:p>
        </w:tc>
        <w:tc>
          <w:tcPr>
            <w:tcW w:w="737" w:type="dxa"/>
            <w:vMerge w:val="continue"/>
          </w:tcPr>
          <w:p w14:paraId="29E7A7CA">
            <w:pPr>
              <w:rPr>
                <w:rFonts w:ascii="宋体" w:hAnsi="宋体" w:cs="宋体"/>
                <w:b/>
                <w:bCs/>
                <w:szCs w:val="21"/>
              </w:rPr>
            </w:pPr>
          </w:p>
        </w:tc>
        <w:tc>
          <w:tcPr>
            <w:tcW w:w="913" w:type="dxa"/>
            <w:vMerge w:val="continue"/>
          </w:tcPr>
          <w:p w14:paraId="7D843CC1">
            <w:pPr>
              <w:rPr>
                <w:rFonts w:ascii="宋体" w:hAnsi="宋体" w:cs="宋体"/>
                <w:b/>
                <w:bCs/>
                <w:szCs w:val="21"/>
              </w:rPr>
            </w:pPr>
          </w:p>
        </w:tc>
        <w:tc>
          <w:tcPr>
            <w:tcW w:w="7004" w:type="dxa"/>
          </w:tcPr>
          <w:p w14:paraId="091B7E09">
            <w:pPr>
              <w:rPr>
                <w:rFonts w:ascii="宋体" w:hAnsi="宋体" w:cs="宋体"/>
                <w:szCs w:val="21"/>
              </w:rPr>
            </w:pPr>
            <w:r>
              <w:rPr>
                <w:rFonts w:hint="eastAsia" w:ascii="宋体" w:hAnsi="宋体" w:cs="宋体"/>
                <w:b/>
                <w:bCs/>
                <w:szCs w:val="21"/>
              </w:rPr>
              <w:t>19、基座建设</w:t>
            </w:r>
          </w:p>
        </w:tc>
      </w:tr>
      <w:tr w14:paraId="1953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4" w:hRule="atLeast"/>
          <w:jc w:val="center"/>
        </w:trPr>
        <w:tc>
          <w:tcPr>
            <w:tcW w:w="438" w:type="dxa"/>
            <w:vMerge w:val="continue"/>
          </w:tcPr>
          <w:p w14:paraId="71F193FA">
            <w:pPr>
              <w:rPr>
                <w:rFonts w:ascii="宋体" w:hAnsi="宋体" w:cs="宋体"/>
                <w:szCs w:val="21"/>
              </w:rPr>
            </w:pPr>
          </w:p>
        </w:tc>
        <w:tc>
          <w:tcPr>
            <w:tcW w:w="1085" w:type="dxa"/>
            <w:vMerge w:val="continue"/>
          </w:tcPr>
          <w:p w14:paraId="3512BF10">
            <w:pPr>
              <w:rPr>
                <w:rFonts w:ascii="宋体" w:hAnsi="宋体" w:cs="宋体"/>
                <w:szCs w:val="21"/>
              </w:rPr>
            </w:pPr>
          </w:p>
        </w:tc>
        <w:tc>
          <w:tcPr>
            <w:tcW w:w="737" w:type="dxa"/>
            <w:vMerge w:val="continue"/>
          </w:tcPr>
          <w:p w14:paraId="64368CB6">
            <w:pPr>
              <w:rPr>
                <w:rFonts w:ascii="宋体" w:hAnsi="宋体" w:cs="宋体"/>
                <w:szCs w:val="21"/>
              </w:rPr>
            </w:pPr>
          </w:p>
        </w:tc>
        <w:tc>
          <w:tcPr>
            <w:tcW w:w="913" w:type="dxa"/>
            <w:vMerge w:val="continue"/>
          </w:tcPr>
          <w:p w14:paraId="59AF5C99">
            <w:pPr>
              <w:rPr>
                <w:rFonts w:ascii="宋体" w:hAnsi="宋体" w:cs="宋体"/>
                <w:szCs w:val="21"/>
              </w:rPr>
            </w:pPr>
          </w:p>
        </w:tc>
        <w:tc>
          <w:tcPr>
            <w:tcW w:w="7004" w:type="dxa"/>
          </w:tcPr>
          <w:p w14:paraId="6ACF882B">
            <w:pPr>
              <w:spacing w:line="400" w:lineRule="exact"/>
              <w:rPr>
                <w:rFonts w:ascii="宋体" w:hAnsi="宋体" w:cs="宋体"/>
                <w:szCs w:val="21"/>
              </w:rPr>
            </w:pPr>
            <w:r>
              <w:rPr>
                <w:rFonts w:hint="eastAsia" w:ascii="宋体" w:hAnsi="宋体" w:cs="宋体"/>
                <w:szCs w:val="21"/>
              </w:rPr>
              <w:t>19.1采用钢筋混凝土抬高20CM，基础长为21米，宽为4.5米，地下预埋6分上水管及10KW以上、线径8平方电缆线，备留1个废液坑，用于存放1个耐酸碱腐蚀PP材质废液收集桶；提供地坪等配套基础设施建设图纸、方案、相关必要配件和技术指导，保证地坪建设符合暂存柜稳固、供水供电、导流、储存漏液、接地等要求。用户需在设备安装位置3米范围内提供运行所需的水、电、网络接口。施工场地需平整，场地内无市政排污管道检修口，无建筑拆除、无植被砍伐、移植、恢复等。</w:t>
            </w:r>
          </w:p>
        </w:tc>
      </w:tr>
      <w:tr w14:paraId="5701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2A246BBE">
            <w:pPr>
              <w:rPr>
                <w:rFonts w:ascii="宋体" w:hAnsi="宋体" w:cs="宋体"/>
                <w:b/>
                <w:bCs/>
                <w:szCs w:val="21"/>
              </w:rPr>
            </w:pPr>
          </w:p>
        </w:tc>
        <w:tc>
          <w:tcPr>
            <w:tcW w:w="1085" w:type="dxa"/>
            <w:vMerge w:val="continue"/>
          </w:tcPr>
          <w:p w14:paraId="77E51EE1">
            <w:pPr>
              <w:rPr>
                <w:rFonts w:ascii="宋体" w:hAnsi="宋体" w:cs="宋体"/>
                <w:b/>
                <w:bCs/>
                <w:szCs w:val="21"/>
              </w:rPr>
            </w:pPr>
          </w:p>
        </w:tc>
        <w:tc>
          <w:tcPr>
            <w:tcW w:w="737" w:type="dxa"/>
            <w:vMerge w:val="continue"/>
          </w:tcPr>
          <w:p w14:paraId="1F611919">
            <w:pPr>
              <w:rPr>
                <w:rFonts w:ascii="宋体" w:hAnsi="宋体" w:cs="宋体"/>
                <w:b/>
                <w:bCs/>
                <w:szCs w:val="21"/>
              </w:rPr>
            </w:pPr>
          </w:p>
        </w:tc>
        <w:tc>
          <w:tcPr>
            <w:tcW w:w="913" w:type="dxa"/>
            <w:vMerge w:val="continue"/>
          </w:tcPr>
          <w:p w14:paraId="1AB1FEDC">
            <w:pPr>
              <w:rPr>
                <w:rFonts w:ascii="宋体" w:hAnsi="宋体" w:cs="宋体"/>
                <w:b/>
                <w:bCs/>
                <w:szCs w:val="21"/>
              </w:rPr>
            </w:pPr>
          </w:p>
        </w:tc>
        <w:tc>
          <w:tcPr>
            <w:tcW w:w="7004" w:type="dxa"/>
          </w:tcPr>
          <w:p w14:paraId="6B8E0AE0">
            <w:pPr>
              <w:rPr>
                <w:rFonts w:ascii="宋体" w:hAnsi="宋体" w:cs="宋体"/>
                <w:szCs w:val="21"/>
              </w:rPr>
            </w:pPr>
            <w:r>
              <w:rPr>
                <w:rFonts w:hint="eastAsia" w:ascii="宋体" w:hAnsi="宋体" w:cs="宋体"/>
                <w:b/>
                <w:bCs/>
                <w:szCs w:val="21"/>
              </w:rPr>
              <w:t>20、顶棚</w:t>
            </w:r>
          </w:p>
        </w:tc>
      </w:tr>
      <w:tr w14:paraId="0D88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438" w:type="dxa"/>
            <w:vMerge w:val="continue"/>
          </w:tcPr>
          <w:p w14:paraId="0EBE3E81">
            <w:pPr>
              <w:rPr>
                <w:rFonts w:ascii="宋体" w:hAnsi="宋体" w:cs="宋体"/>
                <w:szCs w:val="21"/>
              </w:rPr>
            </w:pPr>
          </w:p>
        </w:tc>
        <w:tc>
          <w:tcPr>
            <w:tcW w:w="1085" w:type="dxa"/>
            <w:vMerge w:val="continue"/>
          </w:tcPr>
          <w:p w14:paraId="20B83410">
            <w:pPr>
              <w:rPr>
                <w:rFonts w:ascii="宋体" w:hAnsi="宋体" w:cs="宋体"/>
                <w:szCs w:val="21"/>
              </w:rPr>
            </w:pPr>
          </w:p>
        </w:tc>
        <w:tc>
          <w:tcPr>
            <w:tcW w:w="737" w:type="dxa"/>
            <w:vMerge w:val="continue"/>
          </w:tcPr>
          <w:p w14:paraId="0196CD10">
            <w:pPr>
              <w:rPr>
                <w:rFonts w:ascii="宋体" w:hAnsi="宋体" w:cs="宋体"/>
                <w:szCs w:val="21"/>
              </w:rPr>
            </w:pPr>
          </w:p>
        </w:tc>
        <w:tc>
          <w:tcPr>
            <w:tcW w:w="913" w:type="dxa"/>
            <w:vMerge w:val="continue"/>
          </w:tcPr>
          <w:p w14:paraId="1A5E3394">
            <w:pPr>
              <w:rPr>
                <w:rFonts w:ascii="宋体" w:hAnsi="宋体" w:cs="宋体"/>
                <w:szCs w:val="21"/>
              </w:rPr>
            </w:pPr>
          </w:p>
        </w:tc>
        <w:tc>
          <w:tcPr>
            <w:tcW w:w="7004" w:type="dxa"/>
          </w:tcPr>
          <w:p w14:paraId="01661526">
            <w:pPr>
              <w:rPr>
                <w:rFonts w:hint="eastAsia" w:ascii="宋体" w:hAnsi="宋体" w:eastAsia="宋体" w:cs="宋体"/>
                <w:szCs w:val="21"/>
                <w:lang w:eastAsia="zh-CN"/>
              </w:rPr>
            </w:pPr>
            <w:r>
              <w:rPr>
                <w:rFonts w:hint="eastAsia" w:ascii="宋体" w:hAnsi="宋体" w:cs="宋体"/>
                <w:szCs w:val="21"/>
              </w:rPr>
              <w:t>20.1采用镀锌立柱，离地高度&gt;4.5m,棚顶为彩钢板双向斜面设计，便于排水；其投影与基座一致</w:t>
            </w:r>
            <w:r>
              <w:rPr>
                <w:rFonts w:hint="eastAsia" w:ascii="宋体" w:hAnsi="宋体" w:cs="宋体"/>
                <w:szCs w:val="21"/>
                <w:lang w:eastAsia="zh-CN"/>
              </w:rPr>
              <w:t>。</w:t>
            </w:r>
          </w:p>
        </w:tc>
      </w:tr>
      <w:tr w14:paraId="2EE9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8" w:type="dxa"/>
            <w:vMerge w:val="continue"/>
          </w:tcPr>
          <w:p w14:paraId="30EEB054">
            <w:pPr>
              <w:rPr>
                <w:rFonts w:ascii="宋体" w:hAnsi="宋体" w:cs="宋体"/>
                <w:b/>
                <w:bCs/>
                <w:szCs w:val="21"/>
              </w:rPr>
            </w:pPr>
          </w:p>
        </w:tc>
        <w:tc>
          <w:tcPr>
            <w:tcW w:w="1085" w:type="dxa"/>
            <w:vMerge w:val="continue"/>
          </w:tcPr>
          <w:p w14:paraId="019DC3B4">
            <w:pPr>
              <w:rPr>
                <w:rFonts w:ascii="宋体" w:hAnsi="宋体" w:cs="宋体"/>
                <w:b/>
                <w:bCs/>
                <w:szCs w:val="21"/>
              </w:rPr>
            </w:pPr>
          </w:p>
        </w:tc>
        <w:tc>
          <w:tcPr>
            <w:tcW w:w="737" w:type="dxa"/>
            <w:vMerge w:val="continue"/>
          </w:tcPr>
          <w:p w14:paraId="6E051158">
            <w:pPr>
              <w:rPr>
                <w:rFonts w:ascii="宋体" w:hAnsi="宋体" w:cs="宋体"/>
                <w:b/>
                <w:bCs/>
                <w:szCs w:val="21"/>
              </w:rPr>
            </w:pPr>
          </w:p>
        </w:tc>
        <w:tc>
          <w:tcPr>
            <w:tcW w:w="913" w:type="dxa"/>
            <w:vMerge w:val="continue"/>
          </w:tcPr>
          <w:p w14:paraId="5C9FB565">
            <w:pPr>
              <w:rPr>
                <w:rFonts w:ascii="宋体" w:hAnsi="宋体" w:cs="宋体"/>
                <w:b/>
                <w:bCs/>
                <w:szCs w:val="21"/>
              </w:rPr>
            </w:pPr>
          </w:p>
        </w:tc>
        <w:tc>
          <w:tcPr>
            <w:tcW w:w="7004" w:type="dxa"/>
          </w:tcPr>
          <w:p w14:paraId="5E07EF99">
            <w:pPr>
              <w:rPr>
                <w:rFonts w:ascii="宋体" w:hAnsi="宋体" w:cs="宋体"/>
                <w:szCs w:val="21"/>
              </w:rPr>
            </w:pPr>
            <w:r>
              <w:rPr>
                <w:rFonts w:hint="eastAsia" w:ascii="宋体" w:hAnsi="宋体" w:cs="宋体"/>
                <w:b/>
                <w:bCs/>
                <w:szCs w:val="21"/>
              </w:rPr>
              <w:t>21、围栏</w:t>
            </w:r>
          </w:p>
        </w:tc>
      </w:tr>
      <w:tr w14:paraId="5FFD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38" w:type="dxa"/>
            <w:vMerge w:val="continue"/>
          </w:tcPr>
          <w:p w14:paraId="59489C3B">
            <w:pPr>
              <w:rPr>
                <w:rFonts w:ascii="宋体" w:hAnsi="宋体" w:cs="宋体"/>
                <w:szCs w:val="21"/>
              </w:rPr>
            </w:pPr>
          </w:p>
        </w:tc>
        <w:tc>
          <w:tcPr>
            <w:tcW w:w="1085" w:type="dxa"/>
            <w:vMerge w:val="continue"/>
          </w:tcPr>
          <w:p w14:paraId="13DEA0CA">
            <w:pPr>
              <w:rPr>
                <w:rFonts w:ascii="宋体" w:hAnsi="宋体" w:cs="宋体"/>
                <w:szCs w:val="21"/>
              </w:rPr>
            </w:pPr>
          </w:p>
        </w:tc>
        <w:tc>
          <w:tcPr>
            <w:tcW w:w="737" w:type="dxa"/>
            <w:vMerge w:val="continue"/>
          </w:tcPr>
          <w:p w14:paraId="15386729">
            <w:pPr>
              <w:rPr>
                <w:rFonts w:ascii="宋体" w:hAnsi="宋体" w:cs="宋体"/>
                <w:szCs w:val="21"/>
              </w:rPr>
            </w:pPr>
          </w:p>
        </w:tc>
        <w:tc>
          <w:tcPr>
            <w:tcW w:w="913" w:type="dxa"/>
            <w:vMerge w:val="continue"/>
          </w:tcPr>
          <w:p w14:paraId="6F89E542">
            <w:pPr>
              <w:rPr>
                <w:rFonts w:ascii="宋体" w:hAnsi="宋体" w:cs="宋体"/>
                <w:szCs w:val="21"/>
              </w:rPr>
            </w:pPr>
          </w:p>
        </w:tc>
        <w:tc>
          <w:tcPr>
            <w:tcW w:w="7004" w:type="dxa"/>
          </w:tcPr>
          <w:p w14:paraId="19704F1B">
            <w:pPr>
              <w:spacing w:line="400" w:lineRule="exact"/>
              <w:rPr>
                <w:rFonts w:ascii="宋体" w:hAnsi="宋体" w:cs="宋体"/>
                <w:szCs w:val="21"/>
              </w:rPr>
            </w:pPr>
            <w:r>
              <w:rPr>
                <w:rFonts w:hint="eastAsia" w:ascii="宋体" w:hAnsi="宋体" w:cs="宋体"/>
                <w:szCs w:val="21"/>
              </w:rPr>
              <w:t>21.1围栏高≥1.8米。</w:t>
            </w:r>
          </w:p>
          <w:p w14:paraId="4B06BC12">
            <w:pPr>
              <w:rPr>
                <w:rFonts w:ascii="宋体" w:hAnsi="宋体" w:cs="宋体"/>
                <w:szCs w:val="21"/>
              </w:rPr>
            </w:pPr>
            <w:r>
              <w:rPr>
                <w:rFonts w:hint="eastAsia" w:ascii="宋体" w:hAnsi="宋体" w:cs="宋体"/>
                <w:szCs w:val="21"/>
              </w:rPr>
              <w:t>22.2材质：不锈钢材质</w:t>
            </w:r>
          </w:p>
        </w:tc>
      </w:tr>
      <w:tr w14:paraId="6F63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38" w:type="dxa"/>
            <w:vMerge w:val="continue"/>
          </w:tcPr>
          <w:p w14:paraId="1CD99A38">
            <w:pPr>
              <w:rPr>
                <w:rFonts w:ascii="宋体" w:hAnsi="宋体" w:cs="宋体"/>
                <w:b/>
                <w:bCs/>
                <w:szCs w:val="21"/>
              </w:rPr>
            </w:pPr>
          </w:p>
        </w:tc>
        <w:tc>
          <w:tcPr>
            <w:tcW w:w="1085" w:type="dxa"/>
            <w:vMerge w:val="continue"/>
          </w:tcPr>
          <w:p w14:paraId="0667BC0E">
            <w:pPr>
              <w:rPr>
                <w:rFonts w:ascii="宋体" w:hAnsi="宋体" w:cs="宋体"/>
                <w:b/>
                <w:bCs/>
                <w:szCs w:val="21"/>
              </w:rPr>
            </w:pPr>
          </w:p>
        </w:tc>
        <w:tc>
          <w:tcPr>
            <w:tcW w:w="737" w:type="dxa"/>
            <w:vMerge w:val="continue"/>
          </w:tcPr>
          <w:p w14:paraId="4F263151">
            <w:pPr>
              <w:rPr>
                <w:rFonts w:ascii="宋体" w:hAnsi="宋体" w:cs="宋体"/>
                <w:b/>
                <w:bCs/>
                <w:szCs w:val="21"/>
              </w:rPr>
            </w:pPr>
          </w:p>
        </w:tc>
        <w:tc>
          <w:tcPr>
            <w:tcW w:w="913" w:type="dxa"/>
            <w:vMerge w:val="continue"/>
          </w:tcPr>
          <w:p w14:paraId="37C1A18B">
            <w:pPr>
              <w:rPr>
                <w:rFonts w:ascii="宋体" w:hAnsi="宋体" w:cs="宋体"/>
                <w:b/>
                <w:bCs/>
                <w:szCs w:val="21"/>
              </w:rPr>
            </w:pPr>
          </w:p>
        </w:tc>
        <w:tc>
          <w:tcPr>
            <w:tcW w:w="7004" w:type="dxa"/>
          </w:tcPr>
          <w:p w14:paraId="79CF7FB1">
            <w:pPr>
              <w:rPr>
                <w:rFonts w:ascii="宋体" w:hAnsi="宋体" w:cs="宋体"/>
                <w:szCs w:val="21"/>
              </w:rPr>
            </w:pPr>
            <w:r>
              <w:rPr>
                <w:rFonts w:hint="eastAsia" w:ascii="宋体" w:hAnsi="宋体" w:cs="宋体"/>
                <w:b/>
                <w:bCs/>
                <w:szCs w:val="21"/>
              </w:rPr>
              <w:t>22.废液收集池</w:t>
            </w:r>
          </w:p>
        </w:tc>
      </w:tr>
      <w:tr w14:paraId="23F8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38" w:type="dxa"/>
            <w:vMerge w:val="continue"/>
          </w:tcPr>
          <w:p w14:paraId="252508F2">
            <w:pPr>
              <w:rPr>
                <w:rFonts w:ascii="宋体" w:hAnsi="宋体" w:cs="宋体"/>
                <w:szCs w:val="21"/>
              </w:rPr>
            </w:pPr>
          </w:p>
        </w:tc>
        <w:tc>
          <w:tcPr>
            <w:tcW w:w="1085" w:type="dxa"/>
            <w:vMerge w:val="continue"/>
          </w:tcPr>
          <w:p w14:paraId="2DEBB8C1">
            <w:pPr>
              <w:rPr>
                <w:rFonts w:ascii="宋体" w:hAnsi="宋体" w:cs="宋体"/>
                <w:szCs w:val="21"/>
              </w:rPr>
            </w:pPr>
          </w:p>
        </w:tc>
        <w:tc>
          <w:tcPr>
            <w:tcW w:w="737" w:type="dxa"/>
            <w:vMerge w:val="continue"/>
          </w:tcPr>
          <w:p w14:paraId="6C001844">
            <w:pPr>
              <w:rPr>
                <w:rFonts w:ascii="宋体" w:hAnsi="宋体" w:cs="宋体"/>
                <w:szCs w:val="21"/>
              </w:rPr>
            </w:pPr>
          </w:p>
        </w:tc>
        <w:tc>
          <w:tcPr>
            <w:tcW w:w="913" w:type="dxa"/>
            <w:vMerge w:val="continue"/>
          </w:tcPr>
          <w:p w14:paraId="531DE423">
            <w:pPr>
              <w:rPr>
                <w:rFonts w:ascii="宋体" w:hAnsi="宋体" w:cs="宋体"/>
                <w:szCs w:val="21"/>
              </w:rPr>
            </w:pPr>
          </w:p>
        </w:tc>
        <w:tc>
          <w:tcPr>
            <w:tcW w:w="7004" w:type="dxa"/>
          </w:tcPr>
          <w:p w14:paraId="1AE1FF1C">
            <w:pPr>
              <w:spacing w:line="400" w:lineRule="exact"/>
              <w:rPr>
                <w:rFonts w:ascii="宋体" w:hAnsi="宋体" w:cs="宋体"/>
                <w:szCs w:val="21"/>
              </w:rPr>
            </w:pPr>
            <w:r>
              <w:rPr>
                <w:rFonts w:hint="eastAsia" w:ascii="宋体" w:hAnsi="宋体" w:cs="宋体"/>
                <w:szCs w:val="21"/>
              </w:rPr>
              <w:t>22.1样式：地埋式</w:t>
            </w:r>
          </w:p>
          <w:p w14:paraId="7B700085">
            <w:pPr>
              <w:spacing w:line="400" w:lineRule="exact"/>
              <w:rPr>
                <w:rFonts w:ascii="宋体" w:hAnsi="宋体" w:cs="宋体"/>
                <w:szCs w:val="21"/>
              </w:rPr>
            </w:pPr>
            <w:r>
              <w:rPr>
                <w:rFonts w:hint="eastAsia" w:ascii="宋体" w:hAnsi="宋体" w:cs="宋体"/>
                <w:szCs w:val="21"/>
              </w:rPr>
              <w:t>22.2材质：混凝土钢筋结构，壁厚20cm</w:t>
            </w:r>
          </w:p>
          <w:p w14:paraId="108CC6BD">
            <w:pPr>
              <w:spacing w:line="400" w:lineRule="exact"/>
              <w:rPr>
                <w:rFonts w:ascii="宋体" w:hAnsi="宋体" w:cs="宋体"/>
                <w:szCs w:val="21"/>
              </w:rPr>
            </w:pPr>
            <w:r>
              <w:rPr>
                <w:rFonts w:hint="eastAsia" w:ascii="宋体" w:hAnsi="宋体" w:cs="宋体"/>
                <w:szCs w:val="21"/>
              </w:rPr>
              <w:t>22.3规格：内径长宽深（1.2x1.2x1m），井盖为复合树脂树脂材料</w:t>
            </w:r>
          </w:p>
          <w:p w14:paraId="5B2432F3">
            <w:pPr>
              <w:rPr>
                <w:rFonts w:ascii="宋体" w:hAnsi="宋体" w:cs="宋体"/>
                <w:szCs w:val="21"/>
              </w:rPr>
            </w:pPr>
            <w:r>
              <w:rPr>
                <w:rFonts w:hint="eastAsia" w:ascii="宋体" w:hAnsi="宋体" w:cs="宋体"/>
                <w:szCs w:val="21"/>
              </w:rPr>
              <w:t>22.4废液收集箱规格：长宽深（1x1x0.75）、容量≥500L、防腐（耐酸碱）</w:t>
            </w:r>
          </w:p>
        </w:tc>
      </w:tr>
      <w:tr w14:paraId="65F7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38" w:type="dxa"/>
            <w:vMerge w:val="continue"/>
          </w:tcPr>
          <w:p w14:paraId="01424446">
            <w:pPr>
              <w:spacing w:line="400" w:lineRule="exact"/>
              <w:rPr>
                <w:rFonts w:ascii="宋体" w:hAnsi="宋体" w:cs="宋体"/>
                <w:szCs w:val="21"/>
              </w:rPr>
            </w:pPr>
          </w:p>
        </w:tc>
        <w:tc>
          <w:tcPr>
            <w:tcW w:w="1085" w:type="dxa"/>
            <w:vMerge w:val="continue"/>
          </w:tcPr>
          <w:p w14:paraId="612F3D07">
            <w:pPr>
              <w:spacing w:line="400" w:lineRule="exact"/>
              <w:rPr>
                <w:rFonts w:ascii="宋体" w:hAnsi="宋体" w:cs="宋体"/>
                <w:szCs w:val="21"/>
              </w:rPr>
            </w:pPr>
          </w:p>
        </w:tc>
        <w:tc>
          <w:tcPr>
            <w:tcW w:w="737" w:type="dxa"/>
            <w:vMerge w:val="continue"/>
          </w:tcPr>
          <w:p w14:paraId="14F93F49">
            <w:pPr>
              <w:spacing w:line="400" w:lineRule="exact"/>
              <w:rPr>
                <w:rFonts w:ascii="宋体" w:hAnsi="宋体" w:cs="宋体"/>
                <w:szCs w:val="21"/>
              </w:rPr>
            </w:pPr>
          </w:p>
        </w:tc>
        <w:tc>
          <w:tcPr>
            <w:tcW w:w="913" w:type="dxa"/>
            <w:vMerge w:val="continue"/>
          </w:tcPr>
          <w:p w14:paraId="275F186C">
            <w:pPr>
              <w:spacing w:line="400" w:lineRule="exact"/>
              <w:rPr>
                <w:rFonts w:ascii="宋体" w:hAnsi="宋体" w:cs="宋体"/>
                <w:szCs w:val="21"/>
              </w:rPr>
            </w:pPr>
          </w:p>
        </w:tc>
        <w:tc>
          <w:tcPr>
            <w:tcW w:w="7004" w:type="dxa"/>
          </w:tcPr>
          <w:p w14:paraId="25A928B8">
            <w:pPr>
              <w:spacing w:line="400" w:lineRule="exact"/>
              <w:rPr>
                <w:rFonts w:ascii="宋体" w:hAnsi="宋体" w:cs="宋体"/>
                <w:szCs w:val="21"/>
              </w:rPr>
            </w:pPr>
            <w:r>
              <w:rPr>
                <w:rFonts w:hint="eastAsia" w:ascii="宋体" w:hAnsi="宋体" w:cs="宋体"/>
                <w:b/>
                <w:bCs/>
                <w:szCs w:val="21"/>
              </w:rPr>
              <w:t>23.智能试剂柜（双门称重储存一体柜）</w:t>
            </w:r>
          </w:p>
        </w:tc>
      </w:tr>
      <w:tr w14:paraId="2C03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0" w:hRule="atLeast"/>
          <w:jc w:val="center"/>
        </w:trPr>
        <w:tc>
          <w:tcPr>
            <w:tcW w:w="438" w:type="dxa"/>
            <w:vMerge w:val="continue"/>
          </w:tcPr>
          <w:p w14:paraId="3BFB9AB2">
            <w:pPr>
              <w:spacing w:line="400" w:lineRule="exact"/>
              <w:rPr>
                <w:rFonts w:ascii="宋体" w:hAnsi="宋体" w:cs="宋体"/>
                <w:szCs w:val="21"/>
              </w:rPr>
            </w:pPr>
          </w:p>
        </w:tc>
        <w:tc>
          <w:tcPr>
            <w:tcW w:w="1085" w:type="dxa"/>
            <w:vMerge w:val="continue"/>
          </w:tcPr>
          <w:p w14:paraId="38F150AB">
            <w:pPr>
              <w:spacing w:line="400" w:lineRule="exact"/>
              <w:rPr>
                <w:rFonts w:ascii="宋体" w:hAnsi="宋体" w:cs="宋体"/>
                <w:szCs w:val="21"/>
              </w:rPr>
            </w:pPr>
          </w:p>
        </w:tc>
        <w:tc>
          <w:tcPr>
            <w:tcW w:w="737" w:type="dxa"/>
            <w:vMerge w:val="continue"/>
          </w:tcPr>
          <w:p w14:paraId="50C15C24">
            <w:pPr>
              <w:spacing w:line="400" w:lineRule="exact"/>
              <w:rPr>
                <w:rFonts w:ascii="宋体" w:hAnsi="宋体" w:cs="宋体"/>
                <w:szCs w:val="21"/>
              </w:rPr>
            </w:pPr>
          </w:p>
        </w:tc>
        <w:tc>
          <w:tcPr>
            <w:tcW w:w="913" w:type="dxa"/>
            <w:vMerge w:val="continue"/>
          </w:tcPr>
          <w:p w14:paraId="0BD3F096">
            <w:pPr>
              <w:spacing w:line="400" w:lineRule="exact"/>
              <w:rPr>
                <w:rFonts w:ascii="宋体" w:hAnsi="宋体" w:cs="宋体"/>
                <w:szCs w:val="21"/>
              </w:rPr>
            </w:pPr>
          </w:p>
        </w:tc>
        <w:tc>
          <w:tcPr>
            <w:tcW w:w="7004" w:type="dxa"/>
          </w:tcPr>
          <w:p w14:paraId="2A13DA8F">
            <w:pPr>
              <w:spacing w:line="400" w:lineRule="exact"/>
              <w:rPr>
                <w:rFonts w:ascii="宋体" w:hAnsi="宋体" w:cs="宋体"/>
                <w:szCs w:val="21"/>
              </w:rPr>
            </w:pPr>
            <w:r>
              <w:rPr>
                <w:rFonts w:hint="eastAsia" w:ascii="宋体" w:hAnsi="宋体" w:cs="宋体"/>
                <w:szCs w:val="21"/>
              </w:rPr>
              <w:t>23.1设备尺寸≤高1300 *宽525*深550mm ，配备两个独立的储存空间</w:t>
            </w:r>
            <w:r>
              <w:rPr>
                <w:rFonts w:hint="eastAsia" w:ascii="宋体" w:hAnsi="宋体" w:cs="宋体"/>
                <w:b/>
                <w:bCs/>
                <w:szCs w:val="21"/>
              </w:rPr>
              <w:t>（提供包含尺寸标注的正视图、侧视图及实物测量图作为佐证材料）</w:t>
            </w:r>
            <w:r>
              <w:rPr>
                <w:rFonts w:hint="eastAsia" w:ascii="宋体" w:hAnsi="宋体" w:cs="宋体"/>
                <w:szCs w:val="21"/>
              </w:rPr>
              <w:t>。</w:t>
            </w:r>
          </w:p>
          <w:p w14:paraId="3C2AFD0D">
            <w:pPr>
              <w:spacing w:line="400" w:lineRule="exact"/>
              <w:rPr>
                <w:rFonts w:ascii="宋体" w:hAnsi="宋体" w:cs="宋体"/>
                <w:szCs w:val="21"/>
              </w:rPr>
            </w:pPr>
            <w:r>
              <w:rPr>
                <w:rFonts w:hint="eastAsia" w:ascii="宋体" w:hAnsi="宋体" w:cs="宋体"/>
                <w:szCs w:val="21"/>
              </w:rPr>
              <w:t>23.2两个独立储存空间柜内层板高度可任意调节。总存储量应具备不少于48瓶500mL标准规格试剂瓶的存储能力。存储容量应基于常见圆柱形试剂瓶，在合理布局下的实际容纳数量进行计算。</w:t>
            </w:r>
            <w:r>
              <w:rPr>
                <w:rFonts w:hint="eastAsia" w:ascii="宋体" w:hAnsi="宋体" w:cs="宋体"/>
                <w:b/>
                <w:bCs/>
                <w:szCs w:val="21"/>
              </w:rPr>
              <w:t>（投标时须提供柜内空间尺寸示意图及实物图，并标注每层可容纳瓶数及总存储量，所投产品整机物理结构须实际满足该存储需求）</w:t>
            </w:r>
            <w:r>
              <w:rPr>
                <w:rFonts w:hint="eastAsia" w:ascii="宋体" w:hAnsi="宋体" w:cs="宋体"/>
                <w:szCs w:val="21"/>
              </w:rPr>
              <w:t>。</w:t>
            </w:r>
          </w:p>
          <w:p w14:paraId="5F7B3A55">
            <w:pPr>
              <w:spacing w:line="400" w:lineRule="exact"/>
              <w:rPr>
                <w:rFonts w:ascii="宋体" w:hAnsi="宋体" w:cs="宋体"/>
                <w:szCs w:val="21"/>
              </w:rPr>
            </w:pPr>
            <w:r>
              <w:rPr>
                <w:rFonts w:hint="eastAsia" w:ascii="宋体" w:hAnsi="宋体" w:cs="宋体"/>
                <w:szCs w:val="21"/>
              </w:rPr>
              <w:t>23.3所选称重天平须集成固定式防漏液托盘，托盘与天平为一体化结构，禁止使用抽拉式设计，以保障称量稳定性。应具备至少1000ml的防漏液容积且具有耐腐蚀能力，能够有效防止意外溢出液体，防止对设备及工作台面造成污染（提供实物托盘佐证）"称量天平量程≥6kg，称量精度≤0.05g，满足管制类化学品称量的精度与记录要求</w:t>
            </w:r>
            <w:r>
              <w:rPr>
                <w:rFonts w:hint="eastAsia" w:ascii="宋体" w:hAnsi="宋体" w:cs="宋体"/>
                <w:b/>
                <w:bCs/>
                <w:szCs w:val="21"/>
              </w:rPr>
              <w:t>（投标时须提供具有CMA或CNAS标识的性能GB/T26497-2022</w:t>
            </w:r>
            <w:r>
              <w:rPr>
                <w:rFonts w:hint="eastAsia" w:ascii="宋体" w:hAnsi="宋体" w:cs="宋体"/>
                <w:b/>
                <w:bCs/>
                <w:szCs w:val="21"/>
                <w:lang w:eastAsia="zh-CN"/>
              </w:rPr>
              <w:t>的</w:t>
            </w:r>
            <w:r>
              <w:rPr>
                <w:rFonts w:hint="eastAsia" w:ascii="宋体" w:hAnsi="宋体" w:cs="宋体"/>
                <w:b/>
                <w:bCs/>
                <w:szCs w:val="21"/>
              </w:rPr>
              <w:t>检测报告，同时检测机构认证范围需涵盖天平校准能力并提供认可证书附件）</w:t>
            </w:r>
            <w:r>
              <w:rPr>
                <w:rFonts w:hint="eastAsia" w:ascii="宋体" w:hAnsi="宋体" w:cs="宋体"/>
                <w:szCs w:val="21"/>
              </w:rPr>
              <w:t>。</w:t>
            </w:r>
          </w:p>
          <w:p w14:paraId="67063BC3">
            <w:pPr>
              <w:spacing w:line="400" w:lineRule="exact"/>
              <w:rPr>
                <w:rFonts w:ascii="宋体" w:hAnsi="宋体" w:cs="宋体"/>
                <w:szCs w:val="21"/>
              </w:rPr>
            </w:pPr>
            <w:r>
              <w:rPr>
                <w:rFonts w:hint="eastAsia" w:ascii="宋体" w:hAnsi="宋体" w:cs="宋体"/>
                <w:szCs w:val="21"/>
              </w:rPr>
              <w:t>23.4 RFID识别区域应完整覆盖称重台的防漏液托盘的全部有效表面，实现无盲区、无死角识别。在托盘任意位置放置符合ISO 18000-6C（或GB/T 29768）标准的RFID危化品标签时，系统均能稳定、准确读取标签信息，不得因标签方向、角度、摆放位置等因素导致识别失败或不稳定。</w:t>
            </w:r>
          </w:p>
          <w:p w14:paraId="26346D10">
            <w:pPr>
              <w:spacing w:line="400" w:lineRule="exact"/>
              <w:rPr>
                <w:rFonts w:ascii="宋体" w:hAnsi="宋体" w:cs="宋体"/>
                <w:szCs w:val="21"/>
              </w:rPr>
            </w:pPr>
            <w:r>
              <w:rPr>
                <w:rFonts w:hint="eastAsia" w:ascii="Calibri" w:hAnsi="Calibri"/>
                <w:kern w:val="0"/>
              </w:rPr>
              <w:t>▲</w:t>
            </w:r>
            <w:r>
              <w:rPr>
                <w:rFonts w:hint="eastAsia" w:ascii="宋体" w:hAnsi="宋体" w:cs="宋体"/>
                <w:szCs w:val="21"/>
              </w:rPr>
              <w:t>23.5采用机电双向联动锁具系统，锁具闭合时电子锁与物理锁均为闭合状态，可实现电子指令解锁与双物理钥匙机械解锁的双向实时同步开启，确保危化品储存安全领用便捷。电子指令开启时机械锁具会同时开启，无需机械钥匙辅助开启；即使在断电、断网等异常情况下，双物理钥匙可同时开启机械锁和电子锁，打开对应的储存柜门</w:t>
            </w:r>
            <w:r>
              <w:rPr>
                <w:rFonts w:hint="eastAsia" w:ascii="宋体" w:hAnsi="宋体" w:cs="宋体"/>
                <w:b/>
                <w:bCs/>
                <w:szCs w:val="21"/>
              </w:rPr>
              <w:t>（提供相关演示视频，设备到货进行功能验收）</w:t>
            </w:r>
            <w:r>
              <w:rPr>
                <w:rFonts w:hint="eastAsia" w:ascii="宋体" w:hAnsi="宋体" w:cs="宋体"/>
                <w:szCs w:val="21"/>
              </w:rPr>
              <w:t>。</w:t>
            </w:r>
          </w:p>
          <w:p w14:paraId="28172EC9">
            <w:pPr>
              <w:spacing w:line="400" w:lineRule="exact"/>
              <w:rPr>
                <w:rFonts w:ascii="宋体" w:hAnsi="宋体" w:cs="宋体"/>
                <w:szCs w:val="21"/>
              </w:rPr>
            </w:pPr>
            <w:r>
              <w:rPr>
                <w:rFonts w:hint="eastAsia" w:ascii="宋体" w:hAnsi="宋体" w:cs="宋体"/>
                <w:szCs w:val="21"/>
              </w:rPr>
              <w:t>23.6配备的两套机械防盗锁，锁具均须符合《中华人民共和国公共安全行业标准》GA/T 73-2015《机械防盗锁》技术要求</w:t>
            </w:r>
            <w:r>
              <w:rPr>
                <w:rFonts w:hint="eastAsia" w:ascii="宋体" w:hAnsi="宋体" w:cs="宋体"/>
                <w:b/>
                <w:bCs/>
                <w:szCs w:val="21"/>
              </w:rPr>
              <w:t>（提供具有CMA或CNAS资质的检测机构出具的符合 GA/T73-2015的检测报告；并提供现场实拍图，需清晰展示双锁安装位置、结构布局及锁具，至少包含整机外观图、双锁特写图各一张）</w:t>
            </w:r>
            <w:r>
              <w:rPr>
                <w:rFonts w:hint="eastAsia" w:ascii="宋体" w:hAnsi="宋体" w:cs="宋体"/>
                <w:szCs w:val="21"/>
              </w:rPr>
              <w:t>。</w:t>
            </w:r>
          </w:p>
          <w:p w14:paraId="7448235F">
            <w:pPr>
              <w:spacing w:line="400" w:lineRule="exact"/>
              <w:rPr>
                <w:rFonts w:ascii="宋体" w:hAnsi="宋体" w:cs="宋体"/>
                <w:szCs w:val="21"/>
              </w:rPr>
            </w:pPr>
            <w:r>
              <w:rPr>
                <w:rFonts w:hint="eastAsia" w:ascii="宋体" w:hAnsi="宋体" w:cs="宋体"/>
                <w:szCs w:val="21"/>
              </w:rPr>
              <w:t>23.7配备不小于13.3寸的触摸式操作显示屏，可进行人机操作。支持实时环境监控(温湿度、TVOC浓度、柜门状态等)、支持人员权限设置、出库电子台账、入库电子台账及库存台账查询、报警信息查询等功能、支持智能预警报警。</w:t>
            </w:r>
          </w:p>
          <w:p w14:paraId="4348B900">
            <w:pPr>
              <w:jc w:val="left"/>
              <w:rPr>
                <w:rFonts w:ascii="Calibri" w:hAnsi="Calibri"/>
              </w:rPr>
            </w:pPr>
            <w:r>
              <w:rPr>
                <w:rFonts w:hint="eastAsia" w:ascii="宋体" w:hAnsi="宋体" w:cs="宋体"/>
                <w:szCs w:val="21"/>
              </w:rPr>
              <w:t>23.8生物信息认证设备：采用人脸识别认证，具有双目摄像头，两个摄像</w:t>
            </w:r>
          </w:p>
          <w:p w14:paraId="0ADBF144">
            <w:pPr>
              <w:spacing w:line="400" w:lineRule="exact"/>
              <w:rPr>
                <w:rFonts w:ascii="宋体" w:hAnsi="宋体" w:cs="宋体"/>
                <w:szCs w:val="21"/>
              </w:rPr>
            </w:pPr>
            <w:r>
              <w:rPr>
                <w:rFonts w:hint="eastAsia" w:ascii="宋体" w:hAnsi="宋体" w:cs="宋体"/>
                <w:szCs w:val="21"/>
              </w:rPr>
              <w:t>头像素均不低于200W，且人脸识别摄像头角度可调节</w:t>
            </w:r>
            <w:r>
              <w:rPr>
                <w:rFonts w:hint="eastAsia" w:ascii="宋体" w:hAnsi="宋体" w:cs="宋体"/>
                <w:b/>
                <w:bCs/>
                <w:szCs w:val="21"/>
              </w:rPr>
              <w:t>（提供实物图片佐证）</w:t>
            </w:r>
            <w:r>
              <w:rPr>
                <w:rFonts w:hint="eastAsia" w:ascii="宋体" w:hAnsi="宋体" w:cs="宋体"/>
                <w:szCs w:val="21"/>
              </w:rPr>
              <w:t>；</w:t>
            </w:r>
          </w:p>
          <w:p w14:paraId="7F81C4B9">
            <w:pPr>
              <w:spacing w:line="400" w:lineRule="exact"/>
              <w:rPr>
                <w:rFonts w:ascii="宋体" w:hAnsi="宋体" w:cs="宋体"/>
                <w:szCs w:val="21"/>
              </w:rPr>
            </w:pPr>
            <w:r>
              <w:rPr>
                <w:rFonts w:hint="eastAsia" w:ascii="宋体" w:hAnsi="宋体" w:cs="宋体"/>
                <w:szCs w:val="21"/>
              </w:rPr>
              <w:t>23.9 IC/ID卡阅读器：需具备一卡通认证功能，并可同时兼容ID及IC卡两种协议，满足采购方单位一卡通直接对接使用。</w:t>
            </w:r>
          </w:p>
          <w:p w14:paraId="49E149CA">
            <w:pPr>
              <w:spacing w:line="400" w:lineRule="exact"/>
              <w:rPr>
                <w:rFonts w:ascii="宋体" w:hAnsi="宋体" w:cs="宋体"/>
                <w:szCs w:val="21"/>
              </w:rPr>
            </w:pPr>
            <w:r>
              <w:rPr>
                <w:rFonts w:hint="eastAsia" w:ascii="宋体" w:hAnsi="宋体" w:cs="宋体"/>
                <w:szCs w:val="21"/>
              </w:rPr>
              <w:t>23.10射频设备：智能柜内每个空间及天平称重位置均需具备RFID自动识别功能，黏贴电子标签的危化品出入库、称重，智能柜均可自动识别并记录。RFID射频设备满足《中华人民共和国无线电管理条例》RFID射频设备至少满足通讯频段920~925Mhz内，输出功率≤33dbm或2W、占用带宽≤250KHz（提供无线电发射设备型号核准证）。</w:t>
            </w:r>
          </w:p>
          <w:p w14:paraId="119FA2A0">
            <w:pPr>
              <w:spacing w:line="400" w:lineRule="exact"/>
              <w:rPr>
                <w:rFonts w:ascii="宋体" w:hAnsi="宋体" w:cs="宋体"/>
                <w:szCs w:val="21"/>
              </w:rPr>
            </w:pPr>
            <w:r>
              <w:rPr>
                <w:rFonts w:hint="eastAsia" w:ascii="宋体" w:hAnsi="宋体" w:cs="宋体"/>
                <w:szCs w:val="21"/>
              </w:rPr>
              <w:t>23.11柜体内外壳体均采用厚度≥1.2 mm的冷轧钢板，采用防火结构设计，具备不低于15分钟的防火能力，符合GB/T41962—2022技术规范标准要求。所投智能柜须通过整机实物燃烧测试，耐火时间≥15分钟。</w:t>
            </w:r>
            <w:r>
              <w:rPr>
                <w:rFonts w:hint="eastAsia" w:ascii="宋体" w:hAnsi="宋体" w:cs="宋体"/>
                <w:b/>
                <w:bCs/>
                <w:szCs w:val="21"/>
              </w:rPr>
              <w:t>（须提供由具备CNAS资质的第三方机构出具智能试剂柜整机实物燃烧测试报告（普通柜无效），测试机构认证范围需涵盖安全柜耐火性能检测并提供认可证书附件）</w:t>
            </w:r>
            <w:r>
              <w:rPr>
                <w:rFonts w:hint="eastAsia" w:ascii="宋体" w:hAnsi="宋体" w:cs="宋体"/>
                <w:szCs w:val="21"/>
              </w:rPr>
              <w:t>。柜内空间（上、下、左、右内衬板）均采用PP（聚丙烯树脂）板进行覆盖封装，PP板厚度≥4mm，柜内层板可调节。柜内采用PP（聚丙烯树脂）材料，依据GB/T 2408–2021检测，垂直燃烧达V-0级、水平燃烧达HB级（燃烧速率≤40 mm/min），样品必须取自投标产品柜体实物，普通柜无效（</w:t>
            </w:r>
            <w:r>
              <w:rPr>
                <w:rFonts w:hint="eastAsia" w:ascii="宋体" w:hAnsi="宋体" w:cs="宋体"/>
                <w:b/>
                <w:bCs/>
                <w:szCs w:val="21"/>
              </w:rPr>
              <w:t>提供具有CNAS测试报告，检测机构需具备塑料燃烧性能（GB/T 2408–2021）检测能力并提供认可证书附件</w:t>
            </w:r>
            <w:r>
              <w:rPr>
                <w:rFonts w:hint="eastAsia" w:ascii="宋体" w:hAnsi="宋体" w:cs="宋体"/>
                <w:szCs w:val="21"/>
              </w:rPr>
              <w:t>）。</w:t>
            </w:r>
          </w:p>
          <w:p w14:paraId="2B1C2FD3">
            <w:pPr>
              <w:spacing w:line="400" w:lineRule="exact"/>
              <w:rPr>
                <w:rFonts w:ascii="宋体" w:hAnsi="宋体" w:cs="宋体"/>
                <w:szCs w:val="21"/>
              </w:rPr>
            </w:pPr>
            <w:r>
              <w:rPr>
                <w:rFonts w:hint="eastAsia" w:ascii="宋体" w:hAnsi="宋体" w:cs="宋体"/>
                <w:szCs w:val="21"/>
              </w:rPr>
              <w:t>■23.12所投智能柜柜体板材需通过中性盐雾测试，遵循GB/T 10125-2021要求。满足在溶液PH值为6.5到7.2之间的环境下，连续96个小时盐雾测试下样品保护评级达到10级（即“无缺陷面积”评级，Ra=0）。（</w:t>
            </w:r>
            <w:r>
              <w:rPr>
                <w:rFonts w:hint="eastAsia" w:ascii="宋体" w:hAnsi="宋体" w:cs="宋体"/>
                <w:b/>
                <w:bCs/>
                <w:szCs w:val="21"/>
              </w:rPr>
              <w:t>须提供由具有CNAS标识的性能检测报告。检测机构认证范围需涵盖盐雾试验GB/T 10125-2021项目，检测对象应为智能柜的实际使用材料（柜体钢板）</w:t>
            </w:r>
            <w:r>
              <w:rPr>
                <w:rFonts w:hint="eastAsia" w:ascii="宋体" w:hAnsi="宋体" w:cs="宋体"/>
                <w:szCs w:val="21"/>
              </w:rPr>
              <w:t>）。</w:t>
            </w:r>
          </w:p>
          <w:p w14:paraId="389B107F">
            <w:pPr>
              <w:spacing w:line="400" w:lineRule="exact"/>
              <w:rPr>
                <w:rFonts w:ascii="宋体" w:hAnsi="宋体" w:cs="宋体"/>
                <w:szCs w:val="21"/>
              </w:rPr>
            </w:pPr>
            <w:r>
              <w:rPr>
                <w:rFonts w:hint="eastAsia" w:ascii="宋体" w:hAnsi="宋体" w:cs="宋体"/>
                <w:szCs w:val="21"/>
              </w:rPr>
              <w:t>23.13采用分区独立通风排气架构，每个空间具有独立的进风口和出风口，支持外接排风管道；同时支持加装过滤器，支持净气过滤功能。</w:t>
            </w:r>
          </w:p>
          <w:p w14:paraId="6A98CEE1">
            <w:pPr>
              <w:spacing w:line="400" w:lineRule="exact"/>
              <w:rPr>
                <w:rFonts w:ascii="宋体" w:hAnsi="宋体" w:cs="宋体"/>
                <w:szCs w:val="21"/>
              </w:rPr>
            </w:pPr>
            <w:r>
              <w:rPr>
                <w:rFonts w:hint="eastAsia" w:ascii="宋体" w:hAnsi="宋体" w:cs="宋体"/>
                <w:szCs w:val="21"/>
              </w:rPr>
              <w:t>23.14网络：支持有线、无线网络连接，可根据用户现场的网络情况进行选择连接方式。</w:t>
            </w:r>
          </w:p>
          <w:p w14:paraId="1D10D934">
            <w:pPr>
              <w:spacing w:line="400" w:lineRule="exact"/>
              <w:rPr>
                <w:rFonts w:ascii="宋体" w:hAnsi="宋体" w:cs="宋体"/>
                <w:szCs w:val="21"/>
              </w:rPr>
            </w:pPr>
            <w:r>
              <w:rPr>
                <w:rFonts w:hint="eastAsia" w:ascii="宋体" w:hAnsi="宋体" w:cs="宋体"/>
                <w:szCs w:val="21"/>
              </w:rPr>
              <w:t>23.15声音设备：具备语音播报功能，对操作步骤进行播报指导；异常情况声音预警功能，进行异常操作提醒，便于纠正异常操作行为。</w:t>
            </w:r>
          </w:p>
          <w:p w14:paraId="77B598E6">
            <w:pPr>
              <w:spacing w:line="400" w:lineRule="exact"/>
              <w:rPr>
                <w:rFonts w:ascii="宋体" w:hAnsi="宋体" w:cs="宋体"/>
                <w:szCs w:val="21"/>
              </w:rPr>
            </w:pPr>
            <w:r>
              <w:rPr>
                <w:rFonts w:hint="eastAsia" w:ascii="宋体" w:hAnsi="宋体" w:cs="宋体"/>
                <w:szCs w:val="21"/>
              </w:rPr>
              <w:t>23.16环境检测传感器：柜内每个空间均集成温湿度传感器，量程：-40–80°C（±0.2°C），0–99% RH（±2% RH）；柜内每个空间均集成TVOC传感器，量程：0–5000 ppb，显示分辨率1 ppb。</w:t>
            </w:r>
          </w:p>
          <w:p w14:paraId="5DD22D92">
            <w:pPr>
              <w:spacing w:line="400" w:lineRule="exact"/>
              <w:rPr>
                <w:rFonts w:ascii="宋体" w:hAnsi="宋体" w:cs="宋体"/>
                <w:szCs w:val="21"/>
              </w:rPr>
            </w:pPr>
            <w:r>
              <w:rPr>
                <w:rFonts w:hint="eastAsia" w:ascii="宋体" w:hAnsi="宋体" w:cs="宋体"/>
                <w:szCs w:val="21"/>
              </w:rPr>
              <w:t>23.17柜体需配备有效防静电接地点，设计须符合GB12158-2024防止静电事故通用导则的规定。</w:t>
            </w:r>
          </w:p>
          <w:p w14:paraId="7993E94F">
            <w:pPr>
              <w:spacing w:line="400" w:lineRule="exact"/>
              <w:rPr>
                <w:rFonts w:ascii="宋体" w:hAnsi="宋体" w:cs="宋体"/>
                <w:szCs w:val="21"/>
              </w:rPr>
            </w:pPr>
            <w:r>
              <w:rPr>
                <w:rFonts w:hint="eastAsia" w:ascii="宋体" w:hAnsi="宋体" w:cs="宋体"/>
                <w:szCs w:val="21"/>
              </w:rPr>
              <w:t>23.18状态指示：柜体顶部拥有多个状态指示灯，用于直观展示智能柜的相关状态，包括但不限于：报警指示灯、电源指示灯、开门指示灯。</w:t>
            </w:r>
          </w:p>
          <w:p w14:paraId="5E2CEAB0">
            <w:pPr>
              <w:spacing w:line="400" w:lineRule="exact"/>
              <w:rPr>
                <w:rFonts w:ascii="宋体" w:hAnsi="宋体" w:cs="宋体"/>
                <w:szCs w:val="21"/>
              </w:rPr>
            </w:pPr>
            <w:r>
              <w:rPr>
                <w:rFonts w:hint="eastAsia" w:ascii="宋体" w:hAnsi="宋体" w:cs="宋体"/>
                <w:szCs w:val="21"/>
              </w:rPr>
              <w:t>23.19复位功能：智能柜须有复位按钮，确保在设备及系统异常用户通过复位键按钮，可重置系统及智能柜，进而恢复智能柜使用。（提供整柜高清图、复位键按钮实物特写各一张）。</w:t>
            </w:r>
          </w:p>
          <w:p w14:paraId="04497531">
            <w:pPr>
              <w:spacing w:line="400" w:lineRule="exact"/>
              <w:rPr>
                <w:rFonts w:ascii="宋体" w:hAnsi="宋体" w:cs="宋体"/>
                <w:szCs w:val="21"/>
              </w:rPr>
            </w:pPr>
            <w:r>
              <w:rPr>
                <w:rFonts w:hint="eastAsia" w:ascii="宋体" w:hAnsi="宋体" w:cs="宋体"/>
                <w:szCs w:val="21"/>
              </w:rPr>
              <w:t>23.20智能柜概况：危险化学品数据展示及查询：可以支持查询系统内的危险化学品每天的使用数据，包括每日操作数据、每日异常数据、每日领取数据、每日归还数据、每日待归还数据、智能柜信息展示；人员权限：支持按照学校、学院、课题组架构进行人员权限设置；支持自定义管理员角色，满足超级管理员、管理员及操作员等基本角色权限；支持对角色信息自定义权限，选择是否赋予相关角色对应权限。</w:t>
            </w:r>
          </w:p>
          <w:p w14:paraId="50CC23E4">
            <w:pPr>
              <w:spacing w:line="400" w:lineRule="exact"/>
              <w:rPr>
                <w:rFonts w:ascii="宋体" w:hAnsi="宋体" w:cs="宋体"/>
                <w:szCs w:val="21"/>
              </w:rPr>
            </w:pPr>
            <w:r>
              <w:rPr>
                <w:rFonts w:hint="eastAsia" w:ascii="宋体" w:hAnsi="宋体" w:cs="宋体"/>
                <w:szCs w:val="21"/>
              </w:rPr>
              <w:t>23.21试剂管理：①基本信息录入：包括试剂的质量、密度、生产日期、CAS号、厂商、保质期等，支持excel表格批量上传。②试剂查询：支持按照试剂类型（易制毒、易制爆、一般危化品等）、按试剂状态（已采购、柜内、借出、注销等）、按智能柜进行试剂分布查询。③危化品数据库：内置《危化品管理目录（2021版）》2828条危化品MSDS文档及数据库，包含剧毒品、爆炸品、麻醉药品、精神药品、易制毒、易制爆、⾼毒品、爆炸性危险化学品、重点监管危化品，拥有对应的危化品分类目录；数据库需包化学品禁忌储存数据库，禁忌储存报警提示；支持化学品信息导入及标签打印</w:t>
            </w:r>
            <w:r>
              <w:rPr>
                <w:rFonts w:hint="eastAsia" w:ascii="宋体" w:hAnsi="宋体" w:cs="宋体"/>
                <w:b/>
                <w:bCs/>
                <w:szCs w:val="21"/>
              </w:rPr>
              <w:t>（提供对应演示视频）</w:t>
            </w:r>
          </w:p>
          <w:p w14:paraId="3AE723F8">
            <w:pPr>
              <w:spacing w:line="400" w:lineRule="exact"/>
              <w:rPr>
                <w:rFonts w:ascii="宋体" w:hAnsi="宋体" w:cs="宋体"/>
                <w:szCs w:val="21"/>
              </w:rPr>
            </w:pPr>
            <w:r>
              <w:rPr>
                <w:rFonts w:hint="eastAsia" w:ascii="宋体" w:hAnsi="宋体" w:cs="宋体"/>
                <w:szCs w:val="21"/>
              </w:rPr>
              <w:t>报警预警：包括库存比例不足报警；预期未归还设置；闲置时间设置；柜门长时间未关门设置；未称重报警设置；禁忌存储报警提示危险化学品有效期设置等。支持在移动端及后台进行报警信息查询（提供对应演示视频）23.22报表管理：危险化学品台账表头为自定义报表，可根据实际需求进行配置，字段包括：危化品名称、操作日期、化学品类型、智能柜、负责人、操作类型（采购、入库、借出、注销等）、智能柜名称等</w:t>
            </w:r>
          </w:p>
          <w:p w14:paraId="54AC3EBD">
            <w:pPr>
              <w:spacing w:line="400" w:lineRule="exact"/>
              <w:rPr>
                <w:rFonts w:ascii="宋体" w:hAnsi="宋体" w:cs="宋体"/>
                <w:szCs w:val="21"/>
              </w:rPr>
            </w:pPr>
            <w:r>
              <w:rPr>
                <w:rFonts w:hint="eastAsia" w:ascii="Calibri" w:hAnsi="Calibri"/>
                <w:kern w:val="0"/>
              </w:rPr>
              <w:t>▲</w:t>
            </w:r>
            <w:r>
              <w:rPr>
                <w:rFonts w:hint="eastAsia" w:ascii="宋体" w:hAnsi="宋体" w:cs="宋体"/>
                <w:szCs w:val="21"/>
              </w:rPr>
              <w:t>23.23软件产品证书：为保证软件的后续升级及版权合规，提供基于 RFID 技术的化学品管理软件产品证书及RFID智能化学品管理软件著作权证书</w:t>
            </w:r>
            <w:r>
              <w:rPr>
                <w:rFonts w:hint="eastAsia" w:ascii="宋体" w:hAnsi="宋体" w:cs="宋体"/>
                <w:b/>
                <w:bCs/>
                <w:szCs w:val="21"/>
              </w:rPr>
              <w:t>（投标人须提供软件产品证书）</w:t>
            </w:r>
          </w:p>
        </w:tc>
      </w:tr>
      <w:tr w14:paraId="7D79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38" w:type="dxa"/>
            <w:vMerge w:val="continue"/>
          </w:tcPr>
          <w:p w14:paraId="6E1268AE">
            <w:pPr>
              <w:rPr>
                <w:rFonts w:ascii="宋体" w:hAnsi="宋体" w:cs="宋体"/>
                <w:szCs w:val="21"/>
              </w:rPr>
            </w:pPr>
          </w:p>
        </w:tc>
        <w:tc>
          <w:tcPr>
            <w:tcW w:w="1085" w:type="dxa"/>
            <w:vMerge w:val="continue"/>
          </w:tcPr>
          <w:p w14:paraId="0E6EC526">
            <w:pPr>
              <w:rPr>
                <w:rFonts w:ascii="宋体" w:hAnsi="宋体" w:cs="宋体"/>
                <w:szCs w:val="21"/>
              </w:rPr>
            </w:pPr>
          </w:p>
        </w:tc>
        <w:tc>
          <w:tcPr>
            <w:tcW w:w="737" w:type="dxa"/>
            <w:vMerge w:val="continue"/>
          </w:tcPr>
          <w:p w14:paraId="6C89FA54">
            <w:pPr>
              <w:rPr>
                <w:rFonts w:ascii="宋体" w:hAnsi="宋体" w:cs="宋体"/>
                <w:szCs w:val="21"/>
              </w:rPr>
            </w:pPr>
          </w:p>
        </w:tc>
        <w:tc>
          <w:tcPr>
            <w:tcW w:w="913" w:type="dxa"/>
            <w:vMerge w:val="continue"/>
          </w:tcPr>
          <w:p w14:paraId="2A237474">
            <w:pPr>
              <w:rPr>
                <w:rFonts w:ascii="宋体" w:hAnsi="宋体" w:cs="宋体"/>
                <w:szCs w:val="21"/>
              </w:rPr>
            </w:pPr>
          </w:p>
        </w:tc>
        <w:tc>
          <w:tcPr>
            <w:tcW w:w="7004" w:type="dxa"/>
          </w:tcPr>
          <w:p w14:paraId="273AC80C">
            <w:pPr>
              <w:rPr>
                <w:rFonts w:ascii="宋体" w:hAnsi="宋体" w:cs="宋体"/>
                <w:szCs w:val="21"/>
              </w:rPr>
            </w:pPr>
            <w:r>
              <w:rPr>
                <w:rFonts w:hint="eastAsia" w:ascii="宋体" w:hAnsi="宋体" w:cs="宋体"/>
                <w:b/>
                <w:bCs/>
                <w:szCs w:val="21"/>
              </w:rPr>
              <w:t>24其他附属事项</w:t>
            </w:r>
          </w:p>
        </w:tc>
      </w:tr>
      <w:tr w14:paraId="25D8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38" w:type="dxa"/>
            <w:vMerge w:val="continue"/>
          </w:tcPr>
          <w:p w14:paraId="69B704A7">
            <w:pPr>
              <w:rPr>
                <w:rFonts w:ascii="宋体" w:hAnsi="宋体" w:cs="宋体"/>
                <w:szCs w:val="21"/>
              </w:rPr>
            </w:pPr>
          </w:p>
        </w:tc>
        <w:tc>
          <w:tcPr>
            <w:tcW w:w="1085" w:type="dxa"/>
            <w:vMerge w:val="continue"/>
          </w:tcPr>
          <w:p w14:paraId="28C23D2B">
            <w:pPr>
              <w:rPr>
                <w:rFonts w:ascii="宋体" w:hAnsi="宋体" w:cs="宋体"/>
                <w:szCs w:val="21"/>
              </w:rPr>
            </w:pPr>
          </w:p>
        </w:tc>
        <w:tc>
          <w:tcPr>
            <w:tcW w:w="737" w:type="dxa"/>
            <w:vMerge w:val="continue"/>
          </w:tcPr>
          <w:p w14:paraId="2D473FC6">
            <w:pPr>
              <w:rPr>
                <w:rFonts w:ascii="宋体" w:hAnsi="宋体" w:cs="宋体"/>
                <w:szCs w:val="21"/>
              </w:rPr>
            </w:pPr>
          </w:p>
        </w:tc>
        <w:tc>
          <w:tcPr>
            <w:tcW w:w="913" w:type="dxa"/>
            <w:vMerge w:val="continue"/>
          </w:tcPr>
          <w:p w14:paraId="01F65BA0">
            <w:pPr>
              <w:rPr>
                <w:rFonts w:ascii="宋体" w:hAnsi="宋体" w:cs="宋体"/>
                <w:szCs w:val="21"/>
              </w:rPr>
            </w:pPr>
          </w:p>
        </w:tc>
        <w:tc>
          <w:tcPr>
            <w:tcW w:w="7004" w:type="dxa"/>
          </w:tcPr>
          <w:p w14:paraId="26F3CBF2">
            <w:pPr>
              <w:spacing w:line="400" w:lineRule="exact"/>
              <w:rPr>
                <w:rFonts w:ascii="宋体" w:hAnsi="宋体" w:cs="宋体"/>
                <w:szCs w:val="21"/>
              </w:rPr>
            </w:pPr>
            <w:r>
              <w:rPr>
                <w:rFonts w:hint="eastAsia" w:ascii="宋体" w:hAnsi="宋体" w:cs="宋体"/>
                <w:szCs w:val="21"/>
              </w:rPr>
              <w:t>24.1砍树（可能需砍树1-2棵，树直径约50cm，树高约20米），移植被（灌木丛约90㎡）升高填平地基：（填平面积约90㎡，升高地基约20cm）</w:t>
            </w:r>
          </w:p>
          <w:p w14:paraId="52B59FD7">
            <w:pPr>
              <w:spacing w:line="400" w:lineRule="exact"/>
              <w:rPr>
                <w:rFonts w:ascii="宋体" w:hAnsi="宋体" w:cs="宋体"/>
                <w:szCs w:val="21"/>
              </w:rPr>
            </w:pPr>
            <w:r>
              <w:rPr>
                <w:rFonts w:hint="eastAsia" w:ascii="宋体" w:hAnsi="宋体" w:cs="宋体"/>
                <w:szCs w:val="21"/>
              </w:rPr>
              <w:t>24.2拉网线（约100-500m）</w:t>
            </w:r>
          </w:p>
          <w:p w14:paraId="58E1E8C8">
            <w:pPr>
              <w:spacing w:line="400" w:lineRule="exact"/>
              <w:rPr>
                <w:rFonts w:ascii="宋体" w:hAnsi="宋体" w:cs="宋体"/>
                <w:szCs w:val="21"/>
              </w:rPr>
            </w:pPr>
            <w:r>
              <w:rPr>
                <w:rFonts w:hint="eastAsia" w:ascii="宋体" w:hAnsi="宋体" w:cs="宋体"/>
                <w:szCs w:val="21"/>
              </w:rPr>
              <w:t>24.3线缆（约100m）</w:t>
            </w:r>
          </w:p>
          <w:p w14:paraId="0B91E9D9">
            <w:pPr>
              <w:spacing w:line="400" w:lineRule="exact"/>
              <w:rPr>
                <w:rFonts w:ascii="宋体" w:hAnsi="宋体" w:cs="宋体"/>
                <w:szCs w:val="21"/>
              </w:rPr>
            </w:pPr>
            <w:r>
              <w:rPr>
                <w:rFonts w:hint="eastAsia" w:ascii="宋体" w:hAnsi="宋体" w:cs="宋体"/>
                <w:szCs w:val="21"/>
              </w:rPr>
              <w:t>24.4警示标牌、广告牌（高90cm宽60cm）</w:t>
            </w:r>
          </w:p>
          <w:p w14:paraId="29E7A9E4">
            <w:pPr>
              <w:spacing w:line="400" w:lineRule="exact"/>
              <w:rPr>
                <w:rFonts w:ascii="宋体" w:hAnsi="宋体" w:cs="宋体"/>
                <w:szCs w:val="21"/>
              </w:rPr>
            </w:pPr>
            <w:r>
              <w:rPr>
                <w:rFonts w:hint="eastAsia" w:ascii="宋体" w:hAnsi="宋体" w:cs="宋体"/>
                <w:szCs w:val="21"/>
              </w:rPr>
              <w:t>24.5随柜配套500个实验室废弃物周转纸箱，规格长宽高（50x30x35cm），</w:t>
            </w:r>
          </w:p>
          <w:p w14:paraId="2CBC003B">
            <w:pPr>
              <w:spacing w:line="400" w:lineRule="exact"/>
              <w:rPr>
                <w:rFonts w:ascii="宋体" w:hAnsi="宋体" w:cs="宋体"/>
                <w:szCs w:val="21"/>
              </w:rPr>
            </w:pPr>
            <w:r>
              <w:rPr>
                <w:rFonts w:hint="eastAsia" w:ascii="宋体" w:hAnsi="宋体" w:cs="宋体"/>
                <w:szCs w:val="21"/>
              </w:rPr>
              <w:t>24.6</w:t>
            </w:r>
          </w:p>
          <w:p w14:paraId="59883FD1">
            <w:pPr>
              <w:spacing w:line="400" w:lineRule="exact"/>
              <w:rPr>
                <w:rFonts w:ascii="宋体" w:hAnsi="宋体" w:cs="宋体"/>
                <w:szCs w:val="21"/>
              </w:rPr>
            </w:pPr>
            <w:r>
              <w:rPr>
                <w:rFonts w:hint="eastAsia" w:ascii="宋体" w:hAnsi="宋体" w:cs="宋体"/>
                <w:szCs w:val="21"/>
              </w:rPr>
              <w:t>1000张危废标识（标识包含危险特性8项：刺激性、腐蚀性、爆炸性、助燃、易燃、有毒、有害、石棉）规格20x20cm。</w:t>
            </w:r>
          </w:p>
          <w:p w14:paraId="458C26A4">
            <w:pPr>
              <w:spacing w:line="400" w:lineRule="exact"/>
              <w:rPr>
                <w:rFonts w:ascii="宋体" w:hAnsi="宋体" w:cs="宋体"/>
                <w:szCs w:val="21"/>
              </w:rPr>
            </w:pPr>
            <w:r>
              <w:rPr>
                <w:rFonts w:hint="eastAsia" w:ascii="宋体" w:hAnsi="宋体" w:cs="宋体"/>
                <w:szCs w:val="21"/>
              </w:rPr>
              <w:t>24.7</w:t>
            </w:r>
          </w:p>
          <w:p w14:paraId="0E2EB9CE">
            <w:pPr>
              <w:spacing w:line="400" w:lineRule="exact"/>
              <w:rPr>
                <w:rFonts w:ascii="宋体" w:hAnsi="宋体" w:cs="宋体"/>
                <w:szCs w:val="21"/>
              </w:rPr>
            </w:pPr>
            <w:r>
              <w:rPr>
                <w:rFonts w:hint="eastAsia" w:ascii="宋体" w:hAnsi="宋体" w:cs="宋体"/>
                <w:szCs w:val="21"/>
              </w:rPr>
              <w:t>100张（易燃物）pp贴标识10x10cm</w:t>
            </w:r>
          </w:p>
          <w:p w14:paraId="51A1D972">
            <w:pPr>
              <w:spacing w:line="400" w:lineRule="exact"/>
              <w:rPr>
                <w:rFonts w:ascii="宋体" w:hAnsi="宋体" w:cs="宋体"/>
                <w:szCs w:val="21"/>
              </w:rPr>
            </w:pPr>
            <w:r>
              <w:rPr>
                <w:rFonts w:hint="eastAsia" w:ascii="宋体" w:hAnsi="宋体" w:cs="宋体"/>
                <w:szCs w:val="21"/>
              </w:rPr>
              <w:t>100张（腐蚀性）pp贴标识10x10cm</w:t>
            </w:r>
          </w:p>
          <w:p w14:paraId="69841511">
            <w:pPr>
              <w:spacing w:line="400" w:lineRule="exact"/>
              <w:rPr>
                <w:rFonts w:ascii="宋体" w:hAnsi="宋体" w:cs="宋体"/>
                <w:szCs w:val="21"/>
              </w:rPr>
            </w:pPr>
            <w:r>
              <w:rPr>
                <w:rFonts w:hint="eastAsia" w:ascii="宋体" w:hAnsi="宋体" w:cs="宋体"/>
                <w:szCs w:val="21"/>
              </w:rPr>
              <w:t>100张（毒性）pp贴标识10x10cm</w:t>
            </w:r>
          </w:p>
          <w:p w14:paraId="203FFB0B">
            <w:pPr>
              <w:spacing w:line="400" w:lineRule="exact"/>
              <w:rPr>
                <w:rFonts w:ascii="宋体" w:hAnsi="宋体" w:cs="宋体"/>
                <w:szCs w:val="21"/>
              </w:rPr>
            </w:pPr>
            <w:r>
              <w:rPr>
                <w:rFonts w:hint="eastAsia" w:ascii="宋体" w:hAnsi="宋体" w:cs="宋体"/>
                <w:szCs w:val="21"/>
              </w:rPr>
              <w:t>100张（剧毒品）pp贴标识10x10cm</w:t>
            </w:r>
          </w:p>
          <w:p w14:paraId="39C989E9">
            <w:pPr>
              <w:spacing w:line="400" w:lineRule="exact"/>
              <w:rPr>
                <w:rFonts w:ascii="宋体" w:hAnsi="宋体" w:cs="宋体"/>
                <w:szCs w:val="21"/>
              </w:rPr>
            </w:pPr>
            <w:r>
              <w:rPr>
                <w:rFonts w:hint="eastAsia" w:ascii="宋体" w:hAnsi="宋体" w:cs="宋体"/>
                <w:szCs w:val="21"/>
              </w:rPr>
              <w:t>100张（杂类）pp贴标识10x10cm</w:t>
            </w:r>
          </w:p>
          <w:p w14:paraId="4B04A83B">
            <w:pPr>
              <w:spacing w:line="400" w:lineRule="exact"/>
              <w:rPr>
                <w:rFonts w:ascii="宋体" w:hAnsi="宋体" w:cs="宋体"/>
                <w:szCs w:val="21"/>
              </w:rPr>
            </w:pPr>
            <w:r>
              <w:rPr>
                <w:rFonts w:hint="eastAsia" w:ascii="宋体" w:hAnsi="宋体" w:cs="宋体"/>
                <w:szCs w:val="21"/>
              </w:rPr>
              <w:t>24.8</w:t>
            </w:r>
          </w:p>
          <w:p w14:paraId="31B3BDD1">
            <w:pPr>
              <w:spacing w:line="400" w:lineRule="exact"/>
              <w:rPr>
                <w:rFonts w:ascii="宋体" w:hAnsi="宋体" w:cs="宋体"/>
                <w:szCs w:val="21"/>
              </w:rPr>
            </w:pPr>
            <w:r>
              <w:rPr>
                <w:rFonts w:hint="eastAsia" w:ascii="宋体" w:hAnsi="宋体" w:cs="宋体"/>
                <w:szCs w:val="21"/>
              </w:rPr>
              <w:t>2套（银色镀锌）防渗漏托盘，带水龙头，规格长宽深（65x65x5cm）带底座</w:t>
            </w:r>
          </w:p>
          <w:p w14:paraId="141214DD">
            <w:pPr>
              <w:spacing w:line="400" w:lineRule="exact"/>
              <w:rPr>
                <w:rFonts w:ascii="宋体" w:hAnsi="宋体" w:cs="宋体"/>
                <w:szCs w:val="21"/>
              </w:rPr>
            </w:pPr>
            <w:r>
              <w:rPr>
                <w:rFonts w:hint="eastAsia" w:ascii="宋体" w:hAnsi="宋体" w:cs="宋体"/>
                <w:szCs w:val="21"/>
              </w:rPr>
              <w:t>24.9</w:t>
            </w:r>
          </w:p>
          <w:p w14:paraId="257BAB66">
            <w:pPr>
              <w:spacing w:line="400" w:lineRule="exact"/>
              <w:rPr>
                <w:rFonts w:ascii="宋体" w:hAnsi="宋体" w:cs="宋体"/>
                <w:szCs w:val="21"/>
              </w:rPr>
            </w:pPr>
            <w:r>
              <w:rPr>
                <w:rFonts w:hint="eastAsia" w:ascii="宋体" w:hAnsi="宋体" w:cs="宋体"/>
                <w:szCs w:val="21"/>
              </w:rPr>
              <w:t>200个10升（半透明）耐酸碱废液堆码桶</w:t>
            </w:r>
          </w:p>
          <w:p w14:paraId="1BAD6E4C">
            <w:pPr>
              <w:spacing w:line="400" w:lineRule="exact"/>
              <w:rPr>
                <w:rFonts w:ascii="宋体" w:hAnsi="宋体" w:cs="宋体"/>
                <w:szCs w:val="21"/>
              </w:rPr>
            </w:pPr>
            <w:r>
              <w:rPr>
                <w:rFonts w:hint="eastAsia" w:ascii="宋体" w:hAnsi="宋体" w:cs="宋体"/>
                <w:szCs w:val="21"/>
              </w:rPr>
              <w:t>200个15升（半透明）耐酸碱废液堆码桶</w:t>
            </w:r>
          </w:p>
          <w:p w14:paraId="6CE9A7E6">
            <w:pPr>
              <w:spacing w:line="400" w:lineRule="exact"/>
              <w:rPr>
                <w:rFonts w:ascii="宋体" w:hAnsi="宋体" w:cs="宋体"/>
                <w:szCs w:val="21"/>
              </w:rPr>
            </w:pPr>
            <w:r>
              <w:rPr>
                <w:rFonts w:hint="eastAsia" w:ascii="宋体" w:hAnsi="宋体" w:cs="宋体"/>
                <w:szCs w:val="21"/>
              </w:rPr>
              <w:t>200个25升（半透明）耐酸碱废液堆码桶</w:t>
            </w:r>
          </w:p>
          <w:p w14:paraId="2D5D853F">
            <w:pPr>
              <w:spacing w:line="400" w:lineRule="exact"/>
              <w:rPr>
                <w:rFonts w:ascii="宋体" w:hAnsi="宋体" w:cs="宋体"/>
                <w:szCs w:val="21"/>
              </w:rPr>
            </w:pPr>
            <w:r>
              <w:rPr>
                <w:rFonts w:hint="eastAsia" w:ascii="宋体" w:hAnsi="宋体" w:cs="宋体"/>
                <w:szCs w:val="21"/>
              </w:rPr>
              <w:t>500个外覆膜加厚编织袋 规格长宽110x60cm</w:t>
            </w:r>
          </w:p>
          <w:p w14:paraId="0FD9B9DE">
            <w:pPr>
              <w:spacing w:line="400" w:lineRule="exact"/>
              <w:rPr>
                <w:rFonts w:ascii="宋体" w:hAnsi="宋体" w:cs="宋体"/>
                <w:szCs w:val="21"/>
              </w:rPr>
            </w:pPr>
            <w:r>
              <w:rPr>
                <w:rFonts w:hint="eastAsia" w:ascii="宋体" w:hAnsi="宋体" w:cs="宋体"/>
                <w:szCs w:val="21"/>
              </w:rPr>
              <w:t>1000条黑色扎带长宽400mmx3.8mm</w:t>
            </w:r>
          </w:p>
          <w:p w14:paraId="0004BCBC">
            <w:pPr>
              <w:spacing w:line="400" w:lineRule="exact"/>
              <w:rPr>
                <w:rFonts w:ascii="宋体" w:hAnsi="宋体" w:cs="宋体"/>
                <w:szCs w:val="21"/>
              </w:rPr>
            </w:pPr>
            <w:r>
              <w:rPr>
                <w:rFonts w:hint="eastAsia" w:ascii="宋体" w:hAnsi="宋体" w:cs="宋体"/>
                <w:szCs w:val="21"/>
              </w:rPr>
              <w:t>2000米黄胶带（宽4.5cm）</w:t>
            </w:r>
          </w:p>
          <w:p w14:paraId="50EB9474">
            <w:pPr>
              <w:spacing w:line="400" w:lineRule="exact"/>
              <w:rPr>
                <w:rFonts w:ascii="宋体" w:hAnsi="宋体" w:cs="宋体"/>
                <w:szCs w:val="21"/>
              </w:rPr>
            </w:pPr>
            <w:r>
              <w:rPr>
                <w:rFonts w:hint="eastAsia" w:ascii="宋体" w:hAnsi="宋体" w:cs="宋体"/>
                <w:szCs w:val="21"/>
              </w:rPr>
              <w:t>■24.10</w:t>
            </w:r>
          </w:p>
          <w:p w14:paraId="593BD873">
            <w:pPr>
              <w:spacing w:line="400" w:lineRule="exact"/>
              <w:rPr>
                <w:rFonts w:ascii="宋体" w:hAnsi="宋体" w:cs="宋体"/>
                <w:szCs w:val="21"/>
              </w:rPr>
            </w:pPr>
            <w:r>
              <w:rPr>
                <w:rFonts w:hint="eastAsia" w:ascii="宋体" w:hAnsi="宋体" w:cs="宋体"/>
                <w:szCs w:val="21"/>
              </w:rPr>
              <w:t>配套服务要求：</w:t>
            </w:r>
          </w:p>
          <w:p w14:paraId="2A746D76">
            <w:pPr>
              <w:spacing w:line="400" w:lineRule="exact"/>
              <w:rPr>
                <w:rFonts w:ascii="宋体" w:hAnsi="宋体" w:cs="宋体"/>
                <w:szCs w:val="21"/>
              </w:rPr>
            </w:pPr>
            <w:r>
              <w:rPr>
                <w:rFonts w:hint="eastAsia" w:ascii="宋体" w:hAnsi="宋体" w:cs="宋体"/>
                <w:szCs w:val="21"/>
              </w:rPr>
              <w:t>采购方首次使用暂存柜，尚未熟知暂存柜的各项功能，需要供应商免费提供如下服务：</w:t>
            </w:r>
          </w:p>
          <w:p w14:paraId="60175891">
            <w:pPr>
              <w:spacing w:line="400" w:lineRule="exact"/>
              <w:rPr>
                <w:rFonts w:ascii="宋体" w:hAnsi="宋体" w:cs="宋体"/>
                <w:szCs w:val="21"/>
              </w:rPr>
            </w:pPr>
            <w:r>
              <w:rPr>
                <w:rFonts w:hint="eastAsia" w:ascii="宋体" w:hAnsi="宋体" w:cs="宋体"/>
                <w:szCs w:val="21"/>
              </w:rPr>
              <w:t>24.10.1、服务内容：现场协助第三方危化品处置公司，对暂存柜内的废弃物进行（分拣、归类、填表、贴签、称重、打包）等服务，协助采购方办理废弃物转运处置（填写、申报）等环保手续。</w:t>
            </w:r>
          </w:p>
          <w:p w14:paraId="12FC09AB">
            <w:pPr>
              <w:spacing w:line="400" w:lineRule="exact"/>
              <w:rPr>
                <w:rFonts w:ascii="宋体" w:hAnsi="宋体" w:cs="宋体"/>
                <w:szCs w:val="21"/>
              </w:rPr>
            </w:pPr>
            <w:r>
              <w:rPr>
                <w:rFonts w:hint="eastAsia" w:ascii="宋体" w:hAnsi="宋体" w:cs="宋体"/>
                <w:szCs w:val="21"/>
              </w:rPr>
              <w:t>24.10.2、服务地点：广西师范大学雁山校区/育才校区</w:t>
            </w:r>
          </w:p>
          <w:p w14:paraId="3D7E6281">
            <w:pPr>
              <w:spacing w:line="400" w:lineRule="exact"/>
              <w:rPr>
                <w:rFonts w:ascii="宋体" w:hAnsi="宋体" w:cs="宋体"/>
                <w:szCs w:val="21"/>
              </w:rPr>
            </w:pPr>
            <w:r>
              <w:rPr>
                <w:rFonts w:hint="eastAsia" w:ascii="宋体" w:hAnsi="宋体" w:cs="宋体"/>
                <w:szCs w:val="21"/>
              </w:rPr>
              <w:t>24.10.3、服务时限及次数：从暂存柜验收即日起1年内（服务次数具体以采购方实际转运废弃物次数为准）</w:t>
            </w:r>
          </w:p>
          <w:p w14:paraId="4AB4AEF9">
            <w:pPr>
              <w:spacing w:line="400" w:lineRule="exact"/>
              <w:rPr>
                <w:rFonts w:ascii="宋体" w:hAnsi="宋体" w:cs="宋体"/>
                <w:szCs w:val="21"/>
              </w:rPr>
            </w:pPr>
            <w:r>
              <w:rPr>
                <w:rFonts w:hint="eastAsia" w:ascii="宋体" w:hAnsi="宋体" w:cs="宋体"/>
                <w:szCs w:val="21"/>
              </w:rPr>
              <w:t>24.10.4、服务要求及规范：</w:t>
            </w:r>
          </w:p>
          <w:p w14:paraId="0FB4863B">
            <w:pPr>
              <w:spacing w:line="400" w:lineRule="exact"/>
              <w:rPr>
                <w:rFonts w:ascii="宋体" w:hAnsi="宋体" w:cs="宋体"/>
                <w:szCs w:val="21"/>
              </w:rPr>
            </w:pPr>
            <w:r>
              <w:rPr>
                <w:rFonts w:hint="eastAsia" w:ascii="宋体" w:hAnsi="宋体" w:cs="宋体"/>
                <w:szCs w:val="21"/>
              </w:rPr>
              <w:t>A、资质与培训‌要求：供应商特派服务专员必须经过专业培训并考核合格，熟悉危化品的理化特性及应急措施。供应商也可以委托广西区内有（危险废物经营许可证）资质的第三方环保公司服务，委托费由供应商承担。</w:t>
            </w:r>
          </w:p>
          <w:p w14:paraId="678DEA1B">
            <w:pPr>
              <w:rPr>
                <w:rFonts w:ascii="宋体" w:hAnsi="宋体" w:cs="宋体"/>
                <w:szCs w:val="21"/>
              </w:rPr>
            </w:pPr>
            <w:r>
              <w:rPr>
                <w:rFonts w:hint="eastAsia" w:ascii="宋体" w:hAnsi="宋体" w:cs="宋体"/>
                <w:szCs w:val="21"/>
              </w:rPr>
              <w:t>B、供应商必须详细培训采购方和转运废弃物的第三方环保处置公司：培训内容包含（柜体内部贮存分类、日常使用、维护保养、注意事项、进出库等全套流程）</w:t>
            </w:r>
          </w:p>
          <w:p w14:paraId="5029F4E5">
            <w:pPr>
              <w:pStyle w:val="2"/>
              <w:ind w:firstLine="0"/>
              <w:rPr>
                <w:rFonts w:ascii="宋体" w:hAnsi="宋体" w:cs="宋体"/>
                <w:b/>
                <w:bCs/>
                <w:szCs w:val="21"/>
              </w:rPr>
            </w:pPr>
            <w:r>
              <w:rPr>
                <w:rFonts w:hint="eastAsia" w:ascii="宋体" w:hAnsi="宋体" w:cs="宋体"/>
                <w:b/>
                <w:bCs/>
                <w:szCs w:val="21"/>
              </w:rPr>
              <w:t>24.11演示要求：</w:t>
            </w:r>
          </w:p>
          <w:p w14:paraId="3DF10DE3">
            <w:pPr>
              <w:pStyle w:val="2"/>
              <w:ind w:firstLine="0"/>
              <w:rPr>
                <w:rFonts w:ascii="宋体" w:hAnsi="宋体" w:cs="宋体"/>
                <w:b/>
                <w:bCs/>
                <w:szCs w:val="21"/>
              </w:rPr>
            </w:pPr>
            <w:r>
              <w:rPr>
                <w:rFonts w:hint="eastAsia" w:ascii="宋体" w:hAnsi="宋体" w:cs="宋体"/>
                <w:b/>
                <w:bCs/>
                <w:szCs w:val="21"/>
              </w:rPr>
              <w:t>（1）投标人根据实际情况通过连接广西政府采购云的视频会议通过播放已录制的演示功能录屏的视频文件；</w:t>
            </w:r>
          </w:p>
          <w:p w14:paraId="4E65E7C7">
            <w:pPr>
              <w:pStyle w:val="2"/>
              <w:ind w:firstLine="0"/>
              <w:rPr>
                <w:rFonts w:ascii="宋体" w:hAnsi="宋体" w:cs="宋体"/>
                <w:szCs w:val="21"/>
              </w:rPr>
            </w:pPr>
            <w:r>
              <w:rPr>
                <w:rFonts w:hint="eastAsia" w:ascii="宋体" w:hAnsi="宋体" w:cs="宋体"/>
                <w:b/>
                <w:bCs/>
                <w:szCs w:val="21"/>
              </w:rPr>
              <w:t>（2）供应商需要在具备有摄像头及语音功能且互联网网络状况良好的电脑登录广西政府采购云平台远程开标大厅参与本次演示。若对项目采购电子交易系统操作有疑问，可登录广西政府采购云平台（https://www.gcy.zfcg.gxzf.gov.cn/），点击右侧咨询小采，获取采小蜜智能服务管家帮助，或拨打广西政府采购云平台服务热线 95763 获取热线服务帮助。</w:t>
            </w:r>
          </w:p>
        </w:tc>
      </w:tr>
    </w:tbl>
    <w:p w14:paraId="687B9F14">
      <w:pPr>
        <w:rPr>
          <w:rFonts w:ascii="宋体" w:hAnsi="宋体" w:cs="宋体"/>
          <w:b/>
          <w:bCs/>
          <w:sz w:val="24"/>
        </w:rPr>
      </w:pPr>
      <w:r>
        <w:rPr>
          <w:rFonts w:hint="eastAsia" w:ascii="宋体" w:hAnsi="宋体" w:cs="宋体"/>
          <w:b/>
          <w:bCs/>
          <w:sz w:val="24"/>
        </w:rPr>
        <w:br w:type="page"/>
      </w:r>
    </w:p>
    <w:p w14:paraId="3E2CE584">
      <w:pPr>
        <w:spacing w:beforeLines="50" w:afterLines="50" w:line="360" w:lineRule="auto"/>
        <w:jc w:val="left"/>
        <w:rPr>
          <w:rFonts w:ascii="宋体" w:hAnsi="宋体" w:cs="宋体"/>
          <w:b/>
          <w:bCs/>
          <w:sz w:val="24"/>
        </w:rPr>
      </w:pPr>
      <w:r>
        <w:rPr>
          <w:rFonts w:hint="eastAsia" w:ascii="宋体" w:hAnsi="宋体" w:cs="宋体"/>
          <w:b/>
          <w:bCs/>
          <w:sz w:val="24"/>
        </w:rPr>
        <w:t>★二、商务要求：</w:t>
      </w:r>
    </w:p>
    <w:tbl>
      <w:tblPr>
        <w:tblStyle w:val="25"/>
        <w:tblW w:w="9690"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770"/>
        <w:gridCol w:w="6856"/>
      </w:tblGrid>
      <w:tr w14:paraId="1360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064" w:type="dxa"/>
            <w:vAlign w:val="center"/>
          </w:tcPr>
          <w:p w14:paraId="56D43FF0">
            <w:pPr>
              <w:spacing w:line="360" w:lineRule="auto"/>
              <w:jc w:val="center"/>
              <w:rPr>
                <w:rFonts w:ascii="宋体" w:hAnsi="宋体" w:cs="宋体"/>
                <w:szCs w:val="21"/>
              </w:rPr>
            </w:pPr>
            <w:r>
              <w:rPr>
                <w:rFonts w:hint="eastAsia" w:ascii="宋体" w:hAnsi="宋体" w:cs="宋体"/>
                <w:szCs w:val="21"/>
              </w:rPr>
              <w:t>1</w:t>
            </w:r>
          </w:p>
        </w:tc>
        <w:tc>
          <w:tcPr>
            <w:tcW w:w="1770" w:type="dxa"/>
            <w:vAlign w:val="center"/>
          </w:tcPr>
          <w:p w14:paraId="05C149E8">
            <w:pPr>
              <w:spacing w:line="360" w:lineRule="auto"/>
              <w:jc w:val="center"/>
              <w:rPr>
                <w:rFonts w:ascii="宋体" w:hAnsi="宋体" w:cs="宋体"/>
                <w:szCs w:val="21"/>
              </w:rPr>
            </w:pPr>
            <w:r>
              <w:rPr>
                <w:rFonts w:hint="eastAsia" w:ascii="宋体" w:hAnsi="宋体" w:cs="宋体"/>
                <w:szCs w:val="21"/>
              </w:rPr>
              <w:t>合同签订日期</w:t>
            </w:r>
          </w:p>
        </w:tc>
        <w:tc>
          <w:tcPr>
            <w:tcW w:w="6856" w:type="dxa"/>
            <w:vAlign w:val="center"/>
          </w:tcPr>
          <w:p w14:paraId="3AE1A7AC">
            <w:pPr>
              <w:spacing w:line="360" w:lineRule="auto"/>
              <w:jc w:val="left"/>
              <w:rPr>
                <w:rFonts w:ascii="宋体" w:hAnsi="宋体" w:cs="宋体"/>
                <w:szCs w:val="21"/>
              </w:rPr>
            </w:pPr>
            <w:r>
              <w:rPr>
                <w:rFonts w:hint="eastAsia" w:ascii="宋体" w:hAnsi="宋体" w:cs="宋体"/>
                <w:szCs w:val="21"/>
              </w:rPr>
              <w:t>中标通知书发出后</w:t>
            </w:r>
            <w:r>
              <w:rPr>
                <w:rFonts w:hint="eastAsia" w:ascii="宋体" w:hAnsi="宋体" w:cs="宋体"/>
                <w:szCs w:val="21"/>
                <w:u w:val="single"/>
              </w:rPr>
              <w:t>25</w:t>
            </w:r>
            <w:r>
              <w:rPr>
                <w:rFonts w:hint="eastAsia" w:ascii="宋体" w:hAnsi="宋体" w:cs="宋体"/>
                <w:szCs w:val="21"/>
              </w:rPr>
              <w:t>日内。</w:t>
            </w:r>
          </w:p>
        </w:tc>
      </w:tr>
      <w:tr w14:paraId="56D0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064" w:type="dxa"/>
            <w:vAlign w:val="center"/>
          </w:tcPr>
          <w:p w14:paraId="07487DCA">
            <w:pPr>
              <w:spacing w:line="360" w:lineRule="auto"/>
              <w:jc w:val="center"/>
              <w:rPr>
                <w:rFonts w:ascii="宋体" w:hAnsi="宋体" w:cs="宋体"/>
                <w:szCs w:val="21"/>
              </w:rPr>
            </w:pPr>
            <w:r>
              <w:rPr>
                <w:rFonts w:hint="eastAsia" w:ascii="宋体" w:hAnsi="宋体" w:cs="宋体"/>
                <w:szCs w:val="21"/>
              </w:rPr>
              <w:t>2</w:t>
            </w:r>
          </w:p>
        </w:tc>
        <w:tc>
          <w:tcPr>
            <w:tcW w:w="1770" w:type="dxa"/>
            <w:vAlign w:val="center"/>
          </w:tcPr>
          <w:p w14:paraId="397627CA">
            <w:pPr>
              <w:spacing w:line="360" w:lineRule="auto"/>
              <w:jc w:val="center"/>
              <w:rPr>
                <w:rFonts w:ascii="宋体" w:hAnsi="宋体" w:cs="宋体"/>
                <w:szCs w:val="21"/>
              </w:rPr>
            </w:pPr>
            <w:r>
              <w:rPr>
                <w:rFonts w:hint="eastAsia" w:ascii="宋体" w:hAnsi="宋体" w:cs="宋体"/>
                <w:szCs w:val="21"/>
              </w:rPr>
              <w:t>交付使用时间</w:t>
            </w:r>
          </w:p>
        </w:tc>
        <w:tc>
          <w:tcPr>
            <w:tcW w:w="6856" w:type="dxa"/>
            <w:vAlign w:val="center"/>
          </w:tcPr>
          <w:p w14:paraId="3DBE903E">
            <w:pPr>
              <w:spacing w:line="360" w:lineRule="auto"/>
              <w:jc w:val="left"/>
              <w:rPr>
                <w:rFonts w:ascii="宋体" w:hAnsi="宋体" w:cs="宋体"/>
                <w:szCs w:val="21"/>
              </w:rPr>
            </w:pPr>
            <w:r>
              <w:rPr>
                <w:rFonts w:hint="eastAsia" w:ascii="宋体" w:hAnsi="宋体" w:cs="宋体"/>
                <w:szCs w:val="21"/>
              </w:rPr>
              <w:t>自合同签订之日起</w:t>
            </w:r>
            <w:r>
              <w:rPr>
                <w:rFonts w:hint="eastAsia" w:ascii="宋体" w:hAnsi="宋体" w:cs="宋体"/>
                <w:szCs w:val="21"/>
                <w:u w:val="single"/>
              </w:rPr>
              <w:t>45</w:t>
            </w:r>
            <w:r>
              <w:rPr>
                <w:rFonts w:hint="eastAsia" w:ascii="宋体" w:hAnsi="宋体" w:cs="宋体"/>
                <w:szCs w:val="21"/>
              </w:rPr>
              <w:t>个工作日内全部货物交货并安装调试完毕。</w:t>
            </w:r>
          </w:p>
        </w:tc>
      </w:tr>
      <w:tr w14:paraId="2C5D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064" w:type="dxa"/>
            <w:vAlign w:val="center"/>
          </w:tcPr>
          <w:p w14:paraId="5DFC59EA">
            <w:pPr>
              <w:spacing w:line="360" w:lineRule="auto"/>
              <w:jc w:val="center"/>
              <w:rPr>
                <w:rFonts w:ascii="宋体" w:hAnsi="宋体" w:cs="宋体"/>
                <w:szCs w:val="21"/>
              </w:rPr>
            </w:pPr>
            <w:r>
              <w:rPr>
                <w:rFonts w:hint="eastAsia" w:ascii="宋体" w:hAnsi="宋体" w:cs="宋体"/>
                <w:szCs w:val="21"/>
              </w:rPr>
              <w:t>3</w:t>
            </w:r>
          </w:p>
        </w:tc>
        <w:tc>
          <w:tcPr>
            <w:tcW w:w="1770" w:type="dxa"/>
            <w:vAlign w:val="center"/>
          </w:tcPr>
          <w:p w14:paraId="3EDFD513">
            <w:pPr>
              <w:spacing w:line="360" w:lineRule="auto"/>
              <w:jc w:val="center"/>
              <w:rPr>
                <w:rFonts w:ascii="宋体" w:hAnsi="宋体" w:cs="宋体"/>
                <w:szCs w:val="21"/>
              </w:rPr>
            </w:pPr>
            <w:r>
              <w:rPr>
                <w:rFonts w:hint="eastAsia" w:ascii="宋体" w:hAnsi="宋体" w:cs="宋体"/>
                <w:szCs w:val="21"/>
              </w:rPr>
              <w:t>交付地点</w:t>
            </w:r>
          </w:p>
        </w:tc>
        <w:tc>
          <w:tcPr>
            <w:tcW w:w="6856" w:type="dxa"/>
            <w:vAlign w:val="center"/>
          </w:tcPr>
          <w:p w14:paraId="46099B94">
            <w:pPr>
              <w:spacing w:line="360" w:lineRule="auto"/>
              <w:jc w:val="left"/>
              <w:rPr>
                <w:rFonts w:ascii="宋体" w:hAnsi="宋体" w:cs="宋体"/>
                <w:szCs w:val="21"/>
              </w:rPr>
            </w:pPr>
            <w:r>
              <w:rPr>
                <w:rFonts w:hint="eastAsia" w:ascii="宋体" w:hAnsi="宋体" w:cs="宋体"/>
                <w:szCs w:val="21"/>
              </w:rPr>
              <w:t>广西师范大学育才校区指定地点。</w:t>
            </w:r>
          </w:p>
        </w:tc>
      </w:tr>
      <w:tr w14:paraId="1F1B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2" w:hRule="atLeast"/>
        </w:trPr>
        <w:tc>
          <w:tcPr>
            <w:tcW w:w="1064" w:type="dxa"/>
            <w:vAlign w:val="center"/>
          </w:tcPr>
          <w:p w14:paraId="1A3F6DDA">
            <w:pPr>
              <w:spacing w:line="360" w:lineRule="auto"/>
              <w:jc w:val="center"/>
              <w:rPr>
                <w:rFonts w:ascii="宋体" w:hAnsi="宋体" w:cs="宋体"/>
                <w:szCs w:val="21"/>
              </w:rPr>
            </w:pPr>
            <w:r>
              <w:rPr>
                <w:rFonts w:hint="eastAsia" w:ascii="宋体" w:hAnsi="宋体" w:cs="宋体"/>
                <w:szCs w:val="21"/>
              </w:rPr>
              <w:t>4</w:t>
            </w:r>
          </w:p>
        </w:tc>
        <w:tc>
          <w:tcPr>
            <w:tcW w:w="1770" w:type="dxa"/>
            <w:vAlign w:val="center"/>
          </w:tcPr>
          <w:p w14:paraId="7CA6390E">
            <w:pPr>
              <w:spacing w:line="360" w:lineRule="exact"/>
              <w:jc w:val="center"/>
              <w:rPr>
                <w:rFonts w:ascii="宋体" w:hAnsi="宋体" w:cs="宋体"/>
                <w:szCs w:val="21"/>
              </w:rPr>
            </w:pPr>
            <w:r>
              <w:rPr>
                <w:rFonts w:hint="eastAsia" w:ascii="宋体" w:hAnsi="宋体" w:cs="宋体"/>
                <w:szCs w:val="21"/>
              </w:rPr>
              <w:t>质保期</w:t>
            </w:r>
          </w:p>
        </w:tc>
        <w:tc>
          <w:tcPr>
            <w:tcW w:w="6856" w:type="dxa"/>
            <w:vAlign w:val="center"/>
          </w:tcPr>
          <w:p w14:paraId="4829203F">
            <w:pPr>
              <w:spacing w:line="360" w:lineRule="exact"/>
              <w:rPr>
                <w:rFonts w:ascii="宋体" w:hAnsi="宋体" w:cs="宋体"/>
                <w:szCs w:val="21"/>
              </w:rPr>
            </w:pPr>
            <w:r>
              <w:rPr>
                <w:rFonts w:hint="eastAsia" w:ascii="宋体" w:hAnsi="宋体" w:cs="宋体"/>
                <w:szCs w:val="21"/>
              </w:rPr>
              <w:t>1.投标人应明确承诺：按国家有关产品“三包”规定执行“三包”，质保期除特别注明外，验收合格即日起</w:t>
            </w:r>
            <w:r>
              <w:rPr>
                <w:rFonts w:hint="eastAsia" w:ascii="宋体" w:hAnsi="宋体" w:cs="宋体"/>
                <w:szCs w:val="21"/>
                <w:u w:val="single"/>
              </w:rPr>
              <w:t>1</w:t>
            </w:r>
            <w:r>
              <w:rPr>
                <w:rFonts w:hint="eastAsia" w:ascii="宋体" w:hAnsi="宋体" w:cs="宋体"/>
                <w:szCs w:val="21"/>
              </w:rPr>
              <w:t>年。质保期内负责上门服务、维修、更换配件、非人为损坏免费更换所有故障零配件。</w:t>
            </w:r>
          </w:p>
          <w:p w14:paraId="7150190E">
            <w:pPr>
              <w:spacing w:line="360" w:lineRule="exact"/>
              <w:rPr>
                <w:rFonts w:ascii="宋体" w:hAnsi="宋体" w:cs="宋体"/>
                <w:szCs w:val="21"/>
              </w:rPr>
            </w:pPr>
            <w:r>
              <w:rPr>
                <w:rFonts w:hint="eastAsia" w:ascii="宋体" w:hAnsi="宋体" w:cs="宋体"/>
                <w:szCs w:val="21"/>
              </w:rPr>
              <w:t>2.质保期所更换的零配件必须是原厂全新的零配件，满足设备运行要求。3.质量保证期承诺优于国家“三包”规定的，或优于招标文件规定的，按投标人实际承诺执行。</w:t>
            </w:r>
          </w:p>
        </w:tc>
      </w:tr>
      <w:tr w14:paraId="0CD3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E40BB65">
            <w:pPr>
              <w:spacing w:line="360" w:lineRule="auto"/>
              <w:jc w:val="center"/>
              <w:rPr>
                <w:rFonts w:ascii="宋体" w:hAnsi="宋体" w:cs="宋体"/>
                <w:szCs w:val="21"/>
              </w:rPr>
            </w:pPr>
            <w:r>
              <w:rPr>
                <w:rFonts w:hint="eastAsia" w:ascii="宋体" w:hAnsi="宋体" w:cs="宋体"/>
                <w:szCs w:val="21"/>
              </w:rPr>
              <w:t>5</w:t>
            </w:r>
          </w:p>
        </w:tc>
        <w:tc>
          <w:tcPr>
            <w:tcW w:w="1770" w:type="dxa"/>
            <w:vAlign w:val="center"/>
          </w:tcPr>
          <w:p w14:paraId="5D6502D5">
            <w:pPr>
              <w:spacing w:line="360" w:lineRule="exact"/>
              <w:jc w:val="center"/>
              <w:rPr>
                <w:rFonts w:ascii="宋体" w:hAnsi="宋体" w:cs="宋体"/>
                <w:szCs w:val="21"/>
              </w:rPr>
            </w:pPr>
            <w:r>
              <w:rPr>
                <w:rFonts w:hint="eastAsia" w:ascii="宋体" w:hAnsi="宋体" w:cs="宋体"/>
                <w:szCs w:val="21"/>
              </w:rPr>
              <w:t>售后服务要求</w:t>
            </w:r>
          </w:p>
        </w:tc>
        <w:tc>
          <w:tcPr>
            <w:tcW w:w="6856" w:type="dxa"/>
            <w:vAlign w:val="center"/>
          </w:tcPr>
          <w:p w14:paraId="42D2E320">
            <w:pPr>
              <w:spacing w:line="360" w:lineRule="exact"/>
              <w:rPr>
                <w:rFonts w:ascii="宋体" w:hAnsi="宋体" w:cs="宋体"/>
                <w:szCs w:val="21"/>
              </w:rPr>
            </w:pPr>
            <w:r>
              <w:rPr>
                <w:rFonts w:hint="eastAsia" w:ascii="宋体" w:hAnsi="宋体" w:cs="宋体"/>
                <w:szCs w:val="21"/>
              </w:rPr>
              <w:t>1.售后服务费用包含在报价中，售后服务内容如下：</w:t>
            </w:r>
          </w:p>
          <w:p w14:paraId="0891F426">
            <w:pPr>
              <w:spacing w:line="360" w:lineRule="exact"/>
              <w:rPr>
                <w:rFonts w:ascii="宋体" w:hAnsi="宋体" w:cs="宋体"/>
                <w:szCs w:val="21"/>
              </w:rPr>
            </w:pPr>
            <w:r>
              <w:rPr>
                <w:rFonts w:hint="eastAsia" w:ascii="宋体" w:hAnsi="宋体" w:cs="宋体"/>
                <w:szCs w:val="21"/>
              </w:rPr>
              <w:t>1）质保期内向采购人提供技术支持，确保采购人对设备的成功应用。根据采购人需要，技术支持工程师可进行现场服务；定期提供设备维护服务。</w:t>
            </w:r>
          </w:p>
          <w:p w14:paraId="3DD3FB3F">
            <w:pPr>
              <w:spacing w:line="360" w:lineRule="exact"/>
              <w:rPr>
                <w:rFonts w:ascii="宋体" w:hAnsi="宋体" w:cs="宋体"/>
                <w:szCs w:val="21"/>
              </w:rPr>
            </w:pPr>
            <w:r>
              <w:rPr>
                <w:rFonts w:hint="eastAsia" w:ascii="宋体" w:hAnsi="宋体" w:cs="宋体"/>
                <w:szCs w:val="21"/>
              </w:rPr>
              <w:t>2）响应时间：提供7*24小时服务，提供电话技术指导和咨询服务，设备出现问题时,中标人接到用户电话通知后，2小时响应，12小时内电话做出维修方案，如48小时内无法通过电话解决问题，派维修人在接到报修报告后72小时内到达用户现场予以维修，直到解除故障为止。</w:t>
            </w:r>
          </w:p>
          <w:p w14:paraId="2731D867">
            <w:pPr>
              <w:spacing w:line="360" w:lineRule="exact"/>
              <w:rPr>
                <w:rFonts w:ascii="宋体" w:hAnsi="宋体" w:cs="宋体"/>
                <w:szCs w:val="21"/>
              </w:rPr>
            </w:pPr>
            <w:r>
              <w:rPr>
                <w:rFonts w:hint="eastAsia" w:ascii="宋体" w:hAnsi="宋体" w:cs="宋体"/>
                <w:szCs w:val="21"/>
              </w:rPr>
              <w:t>2.质保期过后的服务要求：</w:t>
            </w:r>
          </w:p>
          <w:p w14:paraId="6B2D242B">
            <w:pPr>
              <w:spacing w:line="360" w:lineRule="exact"/>
              <w:rPr>
                <w:rFonts w:ascii="宋体" w:hAnsi="宋体" w:cs="宋体"/>
                <w:szCs w:val="21"/>
              </w:rPr>
            </w:pPr>
            <w:r>
              <w:rPr>
                <w:rFonts w:hint="eastAsia" w:ascii="宋体" w:hAnsi="宋体" w:cs="宋体"/>
                <w:szCs w:val="21"/>
              </w:rPr>
              <w:t>1）电话咨询：产品质量保证期过后，中标供应商应当为采购人提供技术援助电话，解答采购人在使用中遇到的问题，及时为采购人提出解决问题的建议，并不予收费。</w:t>
            </w:r>
          </w:p>
          <w:p w14:paraId="11E4AF06">
            <w:pPr>
              <w:spacing w:line="360" w:lineRule="exact"/>
              <w:rPr>
                <w:rFonts w:ascii="宋体" w:hAnsi="宋体" w:cs="宋体"/>
                <w:szCs w:val="21"/>
              </w:rPr>
            </w:pPr>
            <w:r>
              <w:rPr>
                <w:rFonts w:hint="eastAsia" w:ascii="宋体" w:hAnsi="宋体" w:cs="宋体"/>
                <w:szCs w:val="21"/>
              </w:rPr>
              <w:t>2）提供保修期外零配件优惠供应方案。质量保证期过后，采购人需要继续由原中标供应商提供售后服务的，该中标供应商应以优惠价格提供售后服务，常用的、容易损坏的备品备件及易损件的优惠价格清单须在投标文件中列出。</w:t>
            </w:r>
          </w:p>
          <w:p w14:paraId="28670BCF">
            <w:pPr>
              <w:spacing w:line="360" w:lineRule="exact"/>
              <w:rPr>
                <w:rFonts w:ascii="宋体" w:hAnsi="宋体" w:cs="宋体"/>
                <w:szCs w:val="21"/>
              </w:rPr>
            </w:pPr>
            <w:r>
              <w:rPr>
                <w:rFonts w:hint="eastAsia" w:ascii="宋体" w:hAnsi="宋体" w:cs="宋体"/>
                <w:szCs w:val="21"/>
              </w:rPr>
              <w:t>3.提供维护手册、维修手册、备件清单。</w:t>
            </w:r>
          </w:p>
        </w:tc>
      </w:tr>
      <w:tr w14:paraId="5857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88CB804">
            <w:pPr>
              <w:spacing w:line="360" w:lineRule="auto"/>
              <w:jc w:val="center"/>
              <w:rPr>
                <w:rFonts w:ascii="宋体" w:hAnsi="宋体" w:cs="宋体"/>
                <w:szCs w:val="21"/>
              </w:rPr>
            </w:pPr>
            <w:r>
              <w:rPr>
                <w:rFonts w:hint="eastAsia" w:ascii="宋体" w:hAnsi="宋体" w:cs="宋体"/>
                <w:szCs w:val="21"/>
              </w:rPr>
              <w:t>6</w:t>
            </w:r>
          </w:p>
        </w:tc>
        <w:tc>
          <w:tcPr>
            <w:tcW w:w="1770" w:type="dxa"/>
            <w:vAlign w:val="center"/>
          </w:tcPr>
          <w:p w14:paraId="52C54A4A">
            <w:pPr>
              <w:spacing w:line="360" w:lineRule="exact"/>
              <w:jc w:val="center"/>
              <w:rPr>
                <w:rFonts w:ascii="宋体" w:hAnsi="宋体" w:cs="宋体"/>
                <w:szCs w:val="21"/>
              </w:rPr>
            </w:pPr>
            <w:r>
              <w:rPr>
                <w:rFonts w:hint="eastAsia" w:ascii="宋体" w:hAnsi="宋体" w:cs="宋体"/>
                <w:szCs w:val="21"/>
              </w:rPr>
              <w:t>投标报价</w:t>
            </w:r>
          </w:p>
        </w:tc>
        <w:tc>
          <w:tcPr>
            <w:tcW w:w="6856" w:type="dxa"/>
            <w:vAlign w:val="center"/>
          </w:tcPr>
          <w:p w14:paraId="04CA9626">
            <w:pPr>
              <w:spacing w:line="360" w:lineRule="exact"/>
              <w:rPr>
                <w:rFonts w:ascii="宋体" w:hAnsi="宋体" w:cs="宋体"/>
                <w:szCs w:val="21"/>
              </w:rPr>
            </w:pPr>
            <w:r>
              <w:rPr>
                <w:rFonts w:hint="eastAsia" w:ascii="宋体" w:hAnsi="宋体" w:cs="宋体"/>
                <w:szCs w:val="21"/>
              </w:rPr>
              <w:t>投标报价包含货物、货物标准附件、备品备件、专用工具、设备安装辅材、施工辅材、包装、运输、装卸、保险、货到就位的各种费用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明示或暗示的所有责任、义务和一般风险等一切费用。</w:t>
            </w:r>
          </w:p>
        </w:tc>
      </w:tr>
      <w:tr w14:paraId="5CA5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694FA5C">
            <w:pPr>
              <w:spacing w:line="360" w:lineRule="auto"/>
              <w:jc w:val="center"/>
              <w:rPr>
                <w:rFonts w:ascii="宋体" w:hAnsi="宋体" w:cs="宋体"/>
                <w:szCs w:val="21"/>
              </w:rPr>
            </w:pPr>
            <w:r>
              <w:rPr>
                <w:rFonts w:hint="eastAsia" w:ascii="宋体" w:hAnsi="宋体" w:cs="宋体"/>
                <w:szCs w:val="21"/>
              </w:rPr>
              <w:t>7</w:t>
            </w:r>
          </w:p>
        </w:tc>
        <w:tc>
          <w:tcPr>
            <w:tcW w:w="1770" w:type="dxa"/>
            <w:vAlign w:val="center"/>
          </w:tcPr>
          <w:p w14:paraId="2353B355">
            <w:pPr>
              <w:spacing w:line="360" w:lineRule="exact"/>
              <w:jc w:val="center"/>
              <w:rPr>
                <w:rFonts w:ascii="宋体" w:hAnsi="宋体" w:cs="宋体"/>
                <w:szCs w:val="21"/>
              </w:rPr>
            </w:pPr>
            <w:r>
              <w:rPr>
                <w:rFonts w:hint="eastAsia" w:ascii="宋体" w:hAnsi="宋体" w:cs="宋体"/>
                <w:szCs w:val="21"/>
              </w:rPr>
              <w:t>付款方式</w:t>
            </w:r>
          </w:p>
        </w:tc>
        <w:tc>
          <w:tcPr>
            <w:tcW w:w="6856" w:type="dxa"/>
          </w:tcPr>
          <w:p w14:paraId="3BC111CD">
            <w:pPr>
              <w:spacing w:line="360" w:lineRule="exact"/>
              <w:rPr>
                <w:rFonts w:ascii="宋体" w:hAnsi="宋体" w:cs="宋体"/>
                <w:szCs w:val="21"/>
              </w:rPr>
            </w:pPr>
            <w:r>
              <w:rPr>
                <w:rFonts w:hint="eastAsia" w:ascii="宋体" w:hAnsi="宋体" w:cs="宋体"/>
                <w:szCs w:val="21"/>
              </w:rPr>
              <w:t>1.合同签订时，中标人应按合同金额的5%（中标人为中小微企业时为中标金额的2%）向采购人交纳履约保证金，履约保证金待履行完合同约定的权利义务事项后（中标人承诺质保期满）且不存在争议的，采购人在5个工作日内无息返还履约保证金。</w:t>
            </w:r>
          </w:p>
          <w:p w14:paraId="0AAE46C6">
            <w:pPr>
              <w:spacing w:line="360" w:lineRule="exact"/>
              <w:rPr>
                <w:rFonts w:ascii="宋体" w:hAnsi="宋体" w:cs="宋体"/>
                <w:szCs w:val="21"/>
              </w:rPr>
            </w:pPr>
            <w:r>
              <w:rPr>
                <w:rFonts w:hint="eastAsia" w:ascii="宋体" w:hAnsi="宋体" w:cs="宋体"/>
                <w:szCs w:val="21"/>
              </w:rPr>
              <w:t>2.在交货验收合格、培训指导完成及设备正常使用后，中标人在3日内开具增值税专用发票给采购人，采购人收到增值税专用发票后30个工作日内支付100％的合同金额（无息）。</w:t>
            </w:r>
          </w:p>
        </w:tc>
      </w:tr>
      <w:tr w14:paraId="2DA8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81FAA7A">
            <w:pPr>
              <w:spacing w:line="360" w:lineRule="auto"/>
              <w:jc w:val="center"/>
              <w:rPr>
                <w:rFonts w:ascii="宋体" w:hAnsi="宋体" w:cs="宋体"/>
                <w:szCs w:val="21"/>
              </w:rPr>
            </w:pPr>
            <w:r>
              <w:rPr>
                <w:rFonts w:hint="eastAsia" w:ascii="宋体" w:hAnsi="宋体" w:cs="宋体"/>
                <w:szCs w:val="21"/>
              </w:rPr>
              <w:t>8</w:t>
            </w:r>
          </w:p>
        </w:tc>
        <w:tc>
          <w:tcPr>
            <w:tcW w:w="1770" w:type="dxa"/>
            <w:vAlign w:val="center"/>
          </w:tcPr>
          <w:p w14:paraId="760DEDC1">
            <w:pPr>
              <w:spacing w:line="360" w:lineRule="exact"/>
              <w:jc w:val="center"/>
              <w:rPr>
                <w:rFonts w:ascii="宋体" w:hAnsi="宋体" w:cs="宋体"/>
                <w:szCs w:val="21"/>
              </w:rPr>
            </w:pPr>
            <w:r>
              <w:rPr>
                <w:rFonts w:hint="eastAsia" w:ascii="宋体" w:hAnsi="宋体" w:cs="宋体"/>
                <w:szCs w:val="21"/>
              </w:rPr>
              <w:t>履约保证金</w:t>
            </w:r>
          </w:p>
        </w:tc>
        <w:tc>
          <w:tcPr>
            <w:tcW w:w="6856" w:type="dxa"/>
            <w:vAlign w:val="center"/>
          </w:tcPr>
          <w:p w14:paraId="7DF2D478">
            <w:pPr>
              <w:spacing w:line="360" w:lineRule="exact"/>
              <w:rPr>
                <w:rFonts w:ascii="宋体" w:hAnsi="宋体" w:cs="宋体"/>
                <w:szCs w:val="21"/>
              </w:rPr>
            </w:pPr>
            <w:r>
              <w:rPr>
                <w:rFonts w:hint="eastAsia" w:ascii="宋体" w:hAnsi="宋体" w:cs="宋体"/>
                <w:szCs w:val="21"/>
              </w:rPr>
              <w:t>中标人在签订合同之前向采购人以银行转账或电汇等非现金方式一次性缴纳中标金额的5%（如为中小企业，按中标金额的2%）作为履约保证金。</w:t>
            </w:r>
          </w:p>
        </w:tc>
      </w:tr>
      <w:tr w14:paraId="6B3D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4A9EFDC">
            <w:pPr>
              <w:spacing w:line="360" w:lineRule="auto"/>
              <w:jc w:val="center"/>
              <w:rPr>
                <w:rFonts w:ascii="宋体" w:hAnsi="宋体" w:cs="宋体"/>
                <w:szCs w:val="21"/>
              </w:rPr>
            </w:pPr>
            <w:r>
              <w:rPr>
                <w:rFonts w:hint="eastAsia" w:ascii="宋体" w:hAnsi="宋体" w:cs="宋体"/>
                <w:szCs w:val="21"/>
              </w:rPr>
              <w:t>9</w:t>
            </w:r>
          </w:p>
        </w:tc>
        <w:tc>
          <w:tcPr>
            <w:tcW w:w="1770" w:type="dxa"/>
            <w:vAlign w:val="center"/>
          </w:tcPr>
          <w:p w14:paraId="31B461A3">
            <w:pPr>
              <w:spacing w:line="360" w:lineRule="exact"/>
              <w:jc w:val="center"/>
              <w:rPr>
                <w:rFonts w:ascii="宋体" w:hAnsi="宋体" w:cs="宋体"/>
                <w:szCs w:val="21"/>
              </w:rPr>
            </w:pPr>
            <w:r>
              <w:rPr>
                <w:rFonts w:hint="eastAsia" w:ascii="宋体" w:hAnsi="宋体" w:cs="宋体"/>
                <w:szCs w:val="21"/>
              </w:rPr>
              <w:t>验收规范、验收方法及方案</w:t>
            </w:r>
          </w:p>
        </w:tc>
        <w:tc>
          <w:tcPr>
            <w:tcW w:w="6856" w:type="dxa"/>
          </w:tcPr>
          <w:p w14:paraId="16A02A83">
            <w:pPr>
              <w:spacing w:line="360" w:lineRule="exact"/>
              <w:rPr>
                <w:rFonts w:ascii="宋体" w:hAnsi="宋体" w:cs="宋体"/>
                <w:szCs w:val="21"/>
              </w:rPr>
            </w:pPr>
            <w:r>
              <w:rPr>
                <w:rFonts w:hint="eastAsia" w:ascii="宋体" w:hAnsi="宋体" w:cs="宋体"/>
                <w:szCs w:val="21"/>
              </w:rPr>
              <w:t>1.项目完工后5个工作日内中标人提出验收申请，接到验收申请的5个工作日内采购人组织验收，验收所发生费用由中标人承担。</w:t>
            </w:r>
          </w:p>
          <w:p w14:paraId="482683C9">
            <w:pPr>
              <w:spacing w:line="360" w:lineRule="exact"/>
              <w:rPr>
                <w:rFonts w:ascii="宋体" w:hAnsi="宋体" w:cs="宋体"/>
                <w:szCs w:val="21"/>
              </w:rPr>
            </w:pPr>
            <w:r>
              <w:rPr>
                <w:rFonts w:hint="eastAsia" w:ascii="宋体" w:hAnsi="宋体" w:cs="宋体"/>
                <w:szCs w:val="21"/>
              </w:rPr>
              <w:t>2.中标人提供不符合公告规定的、采购文件、投标文件承诺的或本合同规定的货物，采购人有权拒绝接受。</w:t>
            </w:r>
          </w:p>
          <w:p w14:paraId="77507EC1">
            <w:pPr>
              <w:spacing w:line="360" w:lineRule="exact"/>
              <w:rPr>
                <w:rFonts w:ascii="宋体" w:hAnsi="宋体" w:cs="宋体"/>
                <w:szCs w:val="21"/>
              </w:rPr>
            </w:pPr>
            <w:r>
              <w:rPr>
                <w:rFonts w:hint="eastAsia" w:ascii="宋体" w:hAnsi="宋体" w:cs="宋体"/>
                <w:szCs w:val="21"/>
              </w:rPr>
              <w:t>3.中标人应将所提供货物的装箱清单、用户手册、原厂保修卡、随机资料、工具和备品、备件等交付给采购人，如有缺失应在采购人要求的期限内及时补齐，否则视为逾期交货。</w:t>
            </w:r>
          </w:p>
          <w:p w14:paraId="0995EF45">
            <w:pPr>
              <w:spacing w:line="360" w:lineRule="exact"/>
              <w:rPr>
                <w:rFonts w:ascii="宋体" w:hAnsi="宋体" w:cs="宋体"/>
                <w:szCs w:val="21"/>
              </w:rPr>
            </w:pPr>
            <w:r>
              <w:rPr>
                <w:rFonts w:hint="eastAsia" w:ascii="宋体" w:hAnsi="宋体" w:cs="宋体"/>
                <w:szCs w:val="21"/>
              </w:rPr>
              <w:t>4.采购人应当在到货并安装、调试完后进行验收。验收合格后由双方签署货物验收单并加盖采购单位公章，双方各执一份。</w:t>
            </w:r>
          </w:p>
          <w:p w14:paraId="5AA8085C">
            <w:pPr>
              <w:spacing w:line="360" w:lineRule="exact"/>
              <w:rPr>
                <w:rFonts w:ascii="宋体" w:hAnsi="宋体" w:cs="宋体"/>
                <w:szCs w:val="21"/>
              </w:rPr>
            </w:pPr>
            <w:r>
              <w:rPr>
                <w:rFonts w:hint="eastAsia" w:ascii="宋体" w:hAnsi="宋体" w:cs="宋体"/>
                <w:szCs w:val="21"/>
              </w:rPr>
              <w:t>5.若采购人委托第三方组织的验收项目，其验收时间以该项目验收方案确定的验收时间为准，验收结果以该项目验收报告结论为准。在验收过程中发现中标人有违约问题，可暂缓资金结算，待违约问题解决后，方可办理资金结算事宜，在此期间，采购人不承担逾期付款责任。</w:t>
            </w:r>
          </w:p>
          <w:p w14:paraId="130FB358">
            <w:pPr>
              <w:spacing w:line="360" w:lineRule="exact"/>
              <w:rPr>
                <w:rFonts w:ascii="宋体" w:hAnsi="宋体" w:cs="宋体"/>
                <w:szCs w:val="21"/>
              </w:rPr>
            </w:pPr>
            <w:r>
              <w:rPr>
                <w:rFonts w:hint="eastAsia" w:ascii="宋体" w:hAnsi="宋体" w:cs="宋体"/>
                <w:szCs w:val="21"/>
              </w:rPr>
              <w:t>6.采购人对验收有异议的，在验收后以书面形式向中标人提出，中标人应自收到采购人书面异议后5日内及时予以解决，中标人不予答复或未予以实质解决的，视为认可采购人异议及处置意见。</w:t>
            </w:r>
          </w:p>
          <w:p w14:paraId="3CE5A745">
            <w:pPr>
              <w:spacing w:line="360" w:lineRule="exact"/>
              <w:rPr>
                <w:rFonts w:ascii="宋体" w:hAnsi="宋体" w:cs="宋体"/>
                <w:szCs w:val="21"/>
              </w:rPr>
            </w:pPr>
            <w:r>
              <w:rPr>
                <w:rFonts w:hint="eastAsia" w:ascii="宋体" w:hAnsi="宋体" w:cs="宋体"/>
                <w:szCs w:val="21"/>
              </w:rPr>
              <w:t>7.验收过程中，所产生的一切费用均由中标人承担。报价时应考虑相关费用。</w:t>
            </w:r>
          </w:p>
          <w:p w14:paraId="0868B2EC">
            <w:pPr>
              <w:spacing w:line="360" w:lineRule="exact"/>
              <w:rPr>
                <w:rFonts w:ascii="宋体" w:hAnsi="宋体" w:cs="宋体"/>
                <w:szCs w:val="21"/>
              </w:rPr>
            </w:pPr>
            <w:r>
              <w:rPr>
                <w:rFonts w:hint="eastAsia" w:ascii="宋体" w:hAnsi="宋体" w:cs="宋体"/>
                <w:szCs w:val="21"/>
              </w:rPr>
              <w:t>8.产品实行强制标准认证制度、生产许可证制度、销售或经营许可证制度、注册证制度的，中标人均应提供相关有效的证书复印件。</w:t>
            </w:r>
          </w:p>
          <w:p w14:paraId="5B7D3635">
            <w:pPr>
              <w:spacing w:line="360" w:lineRule="exact"/>
              <w:rPr>
                <w:rFonts w:ascii="宋体" w:hAnsi="宋体" w:cs="宋体"/>
                <w:szCs w:val="21"/>
              </w:rPr>
            </w:pPr>
            <w:r>
              <w:rPr>
                <w:rFonts w:hint="eastAsia" w:ascii="宋体" w:hAnsi="宋体" w:cs="宋体"/>
                <w:szCs w:val="21"/>
              </w:rPr>
              <w:t>9.其他未尽事宜应严格按照《关于印发广西壮族自治区政府采购项目履约验收管理办法的通知》[桂财采〔2015〕22号]以及《财政部关于进一步加强政府采购需求和履约验收管理的指导意见》[财库〔2016〕205号]规定执行。</w:t>
            </w:r>
          </w:p>
        </w:tc>
      </w:tr>
      <w:tr w14:paraId="3A38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8C0ADFE">
            <w:pPr>
              <w:spacing w:line="360" w:lineRule="auto"/>
              <w:jc w:val="center"/>
              <w:rPr>
                <w:rFonts w:ascii="宋体" w:hAnsi="宋体" w:cs="宋体"/>
                <w:szCs w:val="21"/>
              </w:rPr>
            </w:pPr>
            <w:r>
              <w:rPr>
                <w:rFonts w:hint="eastAsia" w:ascii="宋体" w:hAnsi="宋体" w:cs="宋体"/>
                <w:szCs w:val="21"/>
              </w:rPr>
              <w:t>10</w:t>
            </w:r>
          </w:p>
        </w:tc>
        <w:tc>
          <w:tcPr>
            <w:tcW w:w="1770" w:type="dxa"/>
            <w:vAlign w:val="center"/>
          </w:tcPr>
          <w:p w14:paraId="60BAC41C">
            <w:pPr>
              <w:spacing w:line="360" w:lineRule="exact"/>
              <w:jc w:val="center"/>
              <w:rPr>
                <w:rFonts w:ascii="宋体" w:hAnsi="宋体" w:cs="宋体"/>
                <w:szCs w:val="21"/>
              </w:rPr>
            </w:pPr>
            <w:r>
              <w:rPr>
                <w:rFonts w:hint="eastAsia" w:ascii="宋体" w:hAnsi="宋体" w:cs="宋体"/>
                <w:szCs w:val="21"/>
              </w:rPr>
              <w:t>其它要求</w:t>
            </w:r>
          </w:p>
        </w:tc>
        <w:tc>
          <w:tcPr>
            <w:tcW w:w="6856" w:type="dxa"/>
          </w:tcPr>
          <w:p w14:paraId="3A1C8733">
            <w:pPr>
              <w:spacing w:line="360" w:lineRule="exact"/>
              <w:rPr>
                <w:rFonts w:ascii="宋体" w:hAnsi="宋体" w:cs="宋体"/>
                <w:szCs w:val="21"/>
              </w:rPr>
            </w:pPr>
            <w:r>
              <w:rPr>
                <w:rFonts w:hint="eastAsia" w:ascii="宋体" w:hAnsi="宋体" w:cs="宋体"/>
                <w:szCs w:val="21"/>
              </w:rPr>
              <w:t>1.中标人负责全部产品的安装调试后直接交付运行。在保修期内，中标人须保证采购人能够合法应用该器械/服务。在此过程中，采购人将提供一切必要支持。若可能出现的后续证件、手续，中标人必须提供办理的流程及方法。</w:t>
            </w:r>
          </w:p>
          <w:p w14:paraId="0E46FBE9">
            <w:pPr>
              <w:spacing w:line="360" w:lineRule="exact"/>
              <w:rPr>
                <w:rFonts w:ascii="宋体" w:hAnsi="宋体" w:cs="宋体"/>
                <w:szCs w:val="21"/>
              </w:rPr>
            </w:pPr>
            <w:r>
              <w:rPr>
                <w:rFonts w:hint="eastAsia" w:ascii="宋体" w:hAnsi="宋体" w:cs="宋体"/>
                <w:szCs w:val="21"/>
              </w:rPr>
              <w:t>2.进口产品说明：本标项采购货物不接受进口产品（即通过中国海关报关验放进入中国境内且产自关境外的产品）参与投标，如有进口产品参与投标的，其投标文件按无效处理。</w:t>
            </w:r>
          </w:p>
        </w:tc>
      </w:tr>
      <w:tr w14:paraId="36A5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70DFBADD">
            <w:pPr>
              <w:spacing w:line="360" w:lineRule="auto"/>
              <w:jc w:val="center"/>
              <w:rPr>
                <w:rFonts w:ascii="宋体" w:hAnsi="宋体" w:cs="宋体"/>
                <w:szCs w:val="21"/>
              </w:rPr>
            </w:pPr>
            <w:r>
              <w:rPr>
                <w:rFonts w:hint="eastAsia" w:ascii="宋体" w:hAnsi="宋体" w:cs="宋体"/>
                <w:szCs w:val="21"/>
              </w:rPr>
              <w:t>11</w:t>
            </w:r>
          </w:p>
        </w:tc>
        <w:tc>
          <w:tcPr>
            <w:tcW w:w="1770" w:type="dxa"/>
            <w:vAlign w:val="center"/>
          </w:tcPr>
          <w:p w14:paraId="30EB078B">
            <w:pPr>
              <w:spacing w:line="360" w:lineRule="exact"/>
              <w:jc w:val="center"/>
              <w:rPr>
                <w:rFonts w:ascii="宋体" w:hAnsi="宋体" w:cs="宋体"/>
                <w:szCs w:val="21"/>
              </w:rPr>
            </w:pPr>
            <w:r>
              <w:rPr>
                <w:rFonts w:hint="eastAsia" w:ascii="宋体" w:hAnsi="宋体" w:cs="宋体"/>
                <w:szCs w:val="21"/>
              </w:rPr>
              <w:t>核心产品</w:t>
            </w:r>
          </w:p>
        </w:tc>
        <w:tc>
          <w:tcPr>
            <w:tcW w:w="6856" w:type="dxa"/>
          </w:tcPr>
          <w:p w14:paraId="637A50C3">
            <w:pPr>
              <w:spacing w:line="360" w:lineRule="exact"/>
              <w:rPr>
                <w:rFonts w:ascii="宋体" w:hAnsi="宋体" w:cs="宋体"/>
                <w:szCs w:val="21"/>
                <w:highlight w:val="none"/>
              </w:rPr>
            </w:pPr>
            <w:r>
              <w:rPr>
                <w:rFonts w:hint="eastAsia" w:ascii="宋体" w:hAnsi="宋体" w:cs="宋体"/>
                <w:szCs w:val="21"/>
                <w:highlight w:val="none"/>
              </w:rPr>
              <w:t>本分标的核心产品为</w:t>
            </w:r>
            <w:r>
              <w:rPr>
                <w:rFonts w:hint="eastAsia" w:ascii="宋体" w:hAnsi="宋体" w:cs="宋体"/>
                <w:b/>
                <w:bCs/>
                <w:szCs w:val="21"/>
                <w:highlight w:val="none"/>
              </w:rPr>
              <w:t>实验室废弃物暂存柜</w:t>
            </w:r>
            <w:r>
              <w:rPr>
                <w:rFonts w:hint="eastAsia" w:ascii="宋体" w:hAnsi="宋体" w:cs="宋体"/>
                <w:szCs w:val="21"/>
                <w:highlight w:val="none"/>
              </w:rPr>
              <w:t>。</w:t>
            </w:r>
          </w:p>
          <w:p w14:paraId="2D241F0B">
            <w:pPr>
              <w:spacing w:line="360" w:lineRule="exact"/>
              <w:rPr>
                <w:rFonts w:ascii="宋体" w:hAnsi="宋体" w:cs="宋体"/>
                <w:szCs w:val="21"/>
              </w:rPr>
            </w:pPr>
            <w:r>
              <w:rPr>
                <w:rFonts w:hint="eastAsia" w:ascii="宋体" w:hAnsi="宋体" w:cs="宋体"/>
                <w:szCs w:val="21"/>
              </w:rPr>
              <w:t>提供相同品牌产品且通过资格审查、符合性审查的不同投标人参加同一合同项下投标的，按一家投标人计算，评审后得分最高的同品牌投标人获得中标人推荐资格；核心产品评审得分相同的，由采购人或者采购人委托评标委员会按照招标文件规定的方式确定一个投标人获得中标人推荐资格，招标文件未规定的采取随机抽取方式确定，其他同品牌投标人不作为中标候选人。</w:t>
            </w:r>
          </w:p>
        </w:tc>
      </w:tr>
    </w:tbl>
    <w:p w14:paraId="1CBEB14A">
      <w:pPr>
        <w:rPr>
          <w:b/>
          <w:sz w:val="36"/>
          <w:szCs w:val="20"/>
        </w:rPr>
      </w:pPr>
      <w:r>
        <w:rPr>
          <w:b/>
          <w:sz w:val="36"/>
          <w:szCs w:val="20"/>
        </w:rPr>
        <w:br w:type="page"/>
      </w:r>
    </w:p>
    <w:p w14:paraId="0C497A18">
      <w:pPr>
        <w:pStyle w:val="17"/>
        <w:rPr>
          <w:rFonts w:hint="eastAsia"/>
          <w:b/>
          <w:bCs/>
          <w:sz w:val="24"/>
        </w:rPr>
      </w:pPr>
      <w:r>
        <w:rPr>
          <w:rFonts w:hint="eastAsia"/>
          <w:b/>
          <w:bCs/>
          <w:sz w:val="24"/>
        </w:rPr>
        <w:t>标项二：</w:t>
      </w:r>
    </w:p>
    <w:tbl>
      <w:tblPr>
        <w:tblStyle w:val="25"/>
        <w:tblpPr w:leftFromText="180" w:rightFromText="180" w:vertAnchor="text" w:horzAnchor="page" w:tblpX="1449" w:tblpY="297"/>
        <w:tblOverlap w:val="never"/>
        <w:tblW w:w="90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09"/>
        <w:gridCol w:w="709"/>
        <w:gridCol w:w="5611"/>
      </w:tblGrid>
      <w:tr w14:paraId="0F85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799D02B">
            <w:pPr>
              <w:jc w:val="center"/>
              <w:rPr>
                <w:rFonts w:ascii="宋体" w:hAnsi="宋体" w:cs="宋体"/>
                <w:b/>
                <w:szCs w:val="21"/>
              </w:rPr>
            </w:pPr>
            <w:r>
              <w:rPr>
                <w:rFonts w:hint="eastAsia" w:ascii="宋体" w:hAnsi="宋体" w:cs="宋体"/>
                <w:b/>
                <w:szCs w:val="21"/>
              </w:rPr>
              <w:t>序号</w:t>
            </w:r>
          </w:p>
        </w:tc>
        <w:tc>
          <w:tcPr>
            <w:tcW w:w="1276" w:type="dxa"/>
            <w:vAlign w:val="center"/>
          </w:tcPr>
          <w:p w14:paraId="27DA2D71">
            <w:pPr>
              <w:jc w:val="center"/>
              <w:rPr>
                <w:rFonts w:ascii="宋体" w:hAnsi="宋体" w:cs="宋体"/>
                <w:b/>
                <w:szCs w:val="21"/>
              </w:rPr>
            </w:pPr>
            <w:r>
              <w:rPr>
                <w:rFonts w:hint="eastAsia" w:ascii="宋体" w:hAnsi="宋体" w:cs="宋体"/>
                <w:b/>
                <w:szCs w:val="21"/>
              </w:rPr>
              <w:t>货物/服务名称</w:t>
            </w:r>
          </w:p>
        </w:tc>
        <w:tc>
          <w:tcPr>
            <w:tcW w:w="709" w:type="dxa"/>
            <w:vAlign w:val="center"/>
          </w:tcPr>
          <w:p w14:paraId="498F3A0D">
            <w:pPr>
              <w:jc w:val="center"/>
              <w:rPr>
                <w:rFonts w:ascii="宋体" w:hAnsi="宋体" w:cs="宋体"/>
                <w:b/>
                <w:szCs w:val="21"/>
              </w:rPr>
            </w:pPr>
            <w:r>
              <w:rPr>
                <w:rFonts w:hint="eastAsia" w:ascii="宋体" w:hAnsi="宋体" w:cs="宋体"/>
                <w:b/>
                <w:szCs w:val="21"/>
              </w:rPr>
              <w:t>数量</w:t>
            </w:r>
          </w:p>
        </w:tc>
        <w:tc>
          <w:tcPr>
            <w:tcW w:w="709" w:type="dxa"/>
            <w:vAlign w:val="center"/>
          </w:tcPr>
          <w:p w14:paraId="0A972EB0">
            <w:pPr>
              <w:jc w:val="center"/>
              <w:rPr>
                <w:rFonts w:ascii="宋体" w:hAnsi="宋体" w:cs="宋体"/>
                <w:b/>
                <w:szCs w:val="21"/>
              </w:rPr>
            </w:pPr>
            <w:r>
              <w:rPr>
                <w:rFonts w:hint="eastAsia" w:ascii="宋体" w:hAnsi="宋体" w:cs="宋体"/>
                <w:b/>
                <w:szCs w:val="21"/>
              </w:rPr>
              <w:t>计量</w:t>
            </w:r>
          </w:p>
          <w:p w14:paraId="41C919D5">
            <w:pPr>
              <w:jc w:val="center"/>
              <w:rPr>
                <w:rFonts w:ascii="宋体" w:hAnsi="宋体" w:cs="宋体"/>
                <w:b/>
                <w:szCs w:val="21"/>
              </w:rPr>
            </w:pPr>
            <w:r>
              <w:rPr>
                <w:rFonts w:hint="eastAsia" w:ascii="宋体" w:hAnsi="宋体" w:cs="宋体"/>
                <w:b/>
                <w:szCs w:val="21"/>
              </w:rPr>
              <w:t>单位</w:t>
            </w:r>
          </w:p>
        </w:tc>
        <w:tc>
          <w:tcPr>
            <w:tcW w:w="5611" w:type="dxa"/>
            <w:vAlign w:val="center"/>
          </w:tcPr>
          <w:p w14:paraId="5E18996E">
            <w:pPr>
              <w:jc w:val="center"/>
              <w:rPr>
                <w:rFonts w:ascii="宋体" w:hAnsi="宋体" w:cs="宋体"/>
                <w:b/>
                <w:szCs w:val="21"/>
              </w:rPr>
            </w:pPr>
            <w:r>
              <w:rPr>
                <w:rFonts w:hint="eastAsia" w:ascii="宋体" w:hAnsi="宋体" w:cs="宋体"/>
                <w:b/>
                <w:szCs w:val="21"/>
              </w:rPr>
              <w:t>技术参数要求</w:t>
            </w:r>
          </w:p>
        </w:tc>
      </w:tr>
      <w:tr w14:paraId="2F0A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3A397AA">
            <w:pPr>
              <w:numPr>
                <w:ilvl w:val="0"/>
                <w:numId w:val="2"/>
              </w:numPr>
              <w:ind w:left="0" w:firstLine="0"/>
              <w:jc w:val="center"/>
              <w:rPr>
                <w:rFonts w:ascii="宋体" w:hAnsi="宋体" w:cs="宋体"/>
                <w:szCs w:val="21"/>
              </w:rPr>
            </w:pPr>
          </w:p>
        </w:tc>
        <w:tc>
          <w:tcPr>
            <w:tcW w:w="1276" w:type="dxa"/>
            <w:vAlign w:val="center"/>
          </w:tcPr>
          <w:p w14:paraId="41F82FE4">
            <w:pPr>
              <w:jc w:val="center"/>
              <w:rPr>
                <w:rFonts w:ascii="宋体" w:hAnsi="宋体" w:cs="宋体"/>
                <w:szCs w:val="21"/>
              </w:rPr>
            </w:pPr>
            <w:r>
              <w:rPr>
                <w:rFonts w:hint="eastAsia" w:ascii="宋体" w:hAnsi="宋体" w:cs="宋体"/>
                <w:szCs w:val="21"/>
              </w:rPr>
              <w:t>半自动卷绕机</w:t>
            </w:r>
          </w:p>
        </w:tc>
        <w:tc>
          <w:tcPr>
            <w:tcW w:w="709" w:type="dxa"/>
            <w:vAlign w:val="center"/>
          </w:tcPr>
          <w:p w14:paraId="58B10A1D">
            <w:pPr>
              <w:widowControl/>
              <w:jc w:val="center"/>
              <w:textAlignment w:val="center"/>
              <w:rPr>
                <w:rFonts w:ascii="宋体" w:hAnsi="宋体" w:cs="宋体"/>
                <w:iCs/>
                <w:szCs w:val="21"/>
              </w:rPr>
            </w:pPr>
            <w:r>
              <w:rPr>
                <w:rFonts w:hint="eastAsia" w:ascii="宋体" w:hAnsi="宋体" w:cs="宋体"/>
                <w:color w:val="000000"/>
                <w:kern w:val="0"/>
                <w:szCs w:val="21"/>
                <w:lang w:bidi="ar"/>
              </w:rPr>
              <w:t>1</w:t>
            </w:r>
          </w:p>
        </w:tc>
        <w:tc>
          <w:tcPr>
            <w:tcW w:w="709" w:type="dxa"/>
            <w:vAlign w:val="center"/>
          </w:tcPr>
          <w:p w14:paraId="7EDE8D60">
            <w:pPr>
              <w:jc w:val="center"/>
              <w:rPr>
                <w:rFonts w:ascii="宋体" w:hAnsi="宋体" w:cs="宋体"/>
                <w:iCs/>
                <w:szCs w:val="21"/>
              </w:rPr>
            </w:pPr>
            <w:r>
              <w:rPr>
                <w:rFonts w:hint="eastAsia" w:ascii="宋体" w:hAnsi="宋体" w:cs="宋体"/>
                <w:iCs/>
                <w:szCs w:val="21"/>
              </w:rPr>
              <w:t>台</w:t>
            </w:r>
          </w:p>
        </w:tc>
        <w:tc>
          <w:tcPr>
            <w:tcW w:w="5611" w:type="dxa"/>
          </w:tcPr>
          <w:p w14:paraId="228FACF1">
            <w:pPr>
              <w:widowControl/>
              <w:rPr>
                <w:rFonts w:ascii="宋体" w:hAnsi="宋体" w:cs="宋体"/>
                <w:kern w:val="0"/>
                <w:szCs w:val="21"/>
                <w:lang w:bidi="ar"/>
              </w:rPr>
            </w:pPr>
            <w:r>
              <w:rPr>
                <w:rFonts w:hint="eastAsia" w:ascii="宋体" w:hAnsi="宋体" w:cs="宋体"/>
                <w:kern w:val="0"/>
                <w:szCs w:val="21"/>
                <w:lang w:bidi="ar"/>
              </w:rPr>
              <w:t>1、技术参数</w:t>
            </w:r>
          </w:p>
          <w:p w14:paraId="64B782C0">
            <w:pPr>
              <w:widowControl/>
              <w:rPr>
                <w:rFonts w:ascii="宋体" w:hAnsi="宋体" w:cs="宋体"/>
                <w:kern w:val="0"/>
                <w:szCs w:val="21"/>
                <w:lang w:bidi="ar"/>
              </w:rPr>
            </w:pPr>
            <w:r>
              <w:rPr>
                <w:rFonts w:hint="eastAsia" w:ascii="宋体" w:hAnsi="宋体" w:cs="宋体"/>
                <w:kern w:val="0"/>
                <w:szCs w:val="21"/>
                <w:lang w:bidi="ar"/>
              </w:rPr>
              <w:t>1.1 卷针组合宽度： 15～30mm 30～80mm；</w:t>
            </w:r>
          </w:p>
          <w:p w14:paraId="28E09DF5">
            <w:pPr>
              <w:widowControl/>
              <w:rPr>
                <w:rFonts w:ascii="宋体" w:hAnsi="宋体" w:cs="宋体"/>
                <w:kern w:val="0"/>
                <w:szCs w:val="21"/>
                <w:lang w:bidi="ar"/>
              </w:rPr>
            </w:pPr>
            <w:r>
              <w:rPr>
                <w:rFonts w:hint="eastAsia" w:ascii="宋体" w:hAnsi="宋体" w:cs="宋体"/>
                <w:kern w:val="0"/>
                <w:szCs w:val="21"/>
                <w:lang w:bidi="ar"/>
              </w:rPr>
              <w:t>1.2 隔膜宽度：60～130 mm；</w:t>
            </w:r>
          </w:p>
          <w:p w14:paraId="7EDB8FFA">
            <w:pPr>
              <w:widowControl/>
              <w:rPr>
                <w:rFonts w:ascii="宋体" w:hAnsi="宋体" w:cs="宋体"/>
                <w:kern w:val="0"/>
                <w:szCs w:val="21"/>
                <w:lang w:bidi="ar"/>
              </w:rPr>
            </w:pPr>
            <w:r>
              <w:rPr>
                <w:rFonts w:hint="eastAsia" w:ascii="宋体" w:hAnsi="宋体" w:cs="宋体"/>
                <w:kern w:val="0"/>
                <w:szCs w:val="21"/>
                <w:lang w:bidi="ar"/>
              </w:rPr>
              <w:t>1.3 极片宽度：58～128 mm；</w:t>
            </w:r>
          </w:p>
          <w:p w14:paraId="01DB4EAC">
            <w:pPr>
              <w:widowControl/>
              <w:rPr>
                <w:rFonts w:ascii="宋体" w:hAnsi="宋体" w:cs="宋体"/>
                <w:kern w:val="0"/>
                <w:szCs w:val="21"/>
                <w:lang w:bidi="ar"/>
              </w:rPr>
            </w:pPr>
            <w:r>
              <w:rPr>
                <w:rFonts w:hint="eastAsia" w:ascii="宋体" w:hAnsi="宋体" w:cs="宋体"/>
                <w:kern w:val="0"/>
                <w:szCs w:val="21"/>
                <w:lang w:bidi="ar"/>
              </w:rPr>
              <w:t>1.4 极片长度：300～2000 mm；</w:t>
            </w:r>
          </w:p>
          <w:p w14:paraId="66E82AD2">
            <w:pPr>
              <w:widowControl/>
              <w:rPr>
                <w:rFonts w:ascii="宋体" w:hAnsi="宋体" w:cs="宋体"/>
                <w:kern w:val="0"/>
                <w:szCs w:val="21"/>
                <w:lang w:bidi="ar"/>
              </w:rPr>
            </w:pPr>
            <w:r>
              <w:rPr>
                <w:rFonts w:hint="eastAsia" w:ascii="宋体" w:hAnsi="宋体" w:cs="宋体"/>
                <w:kern w:val="0"/>
                <w:szCs w:val="21"/>
                <w:lang w:bidi="ar"/>
              </w:rPr>
              <w:t>1.5 终止胶带宽度：8～15 mm；</w:t>
            </w:r>
          </w:p>
          <w:p w14:paraId="49D290D0">
            <w:pPr>
              <w:widowControl/>
              <w:rPr>
                <w:rFonts w:ascii="宋体" w:hAnsi="宋体" w:cs="宋体"/>
                <w:kern w:val="0"/>
                <w:szCs w:val="21"/>
                <w:lang w:bidi="ar"/>
              </w:rPr>
            </w:pPr>
            <w:r>
              <w:rPr>
                <w:rFonts w:hint="eastAsia" w:ascii="宋体" w:hAnsi="宋体" w:cs="宋体"/>
                <w:kern w:val="0"/>
                <w:szCs w:val="21"/>
                <w:lang w:bidi="ar"/>
              </w:rPr>
              <w:t>1.6 卷绕精度：隔膜与负极、负极与正极片对齐误差均小于±0.2 mm；</w:t>
            </w:r>
          </w:p>
          <w:p w14:paraId="3C4437F0">
            <w:pPr>
              <w:widowControl/>
              <w:rPr>
                <w:rFonts w:ascii="宋体" w:hAnsi="宋体" w:cs="宋体"/>
                <w:kern w:val="0"/>
                <w:szCs w:val="21"/>
                <w:lang w:bidi="ar"/>
              </w:rPr>
            </w:pPr>
            <w:r>
              <w:rPr>
                <w:rFonts w:hint="eastAsia" w:ascii="宋体" w:hAnsi="宋体" w:cs="宋体"/>
                <w:kern w:val="0"/>
                <w:szCs w:val="21"/>
                <w:lang w:bidi="ar"/>
              </w:rPr>
              <w:t>1.7 极耳中心距精度≤±2mm；（与来料精度有关）</w:t>
            </w:r>
          </w:p>
          <w:p w14:paraId="3953C37D">
            <w:pPr>
              <w:widowControl/>
              <w:rPr>
                <w:rFonts w:ascii="宋体" w:hAnsi="宋体" w:cs="宋体"/>
                <w:kern w:val="0"/>
                <w:szCs w:val="21"/>
                <w:lang w:bidi="ar"/>
              </w:rPr>
            </w:pPr>
            <w:r>
              <w:rPr>
                <w:rFonts w:hint="eastAsia" w:ascii="宋体" w:hAnsi="宋体" w:cs="宋体"/>
                <w:kern w:val="0"/>
                <w:szCs w:val="21"/>
                <w:lang w:bidi="ar"/>
              </w:rPr>
              <w:t>1.8 自动插片：插片宽度10～15mm；</w:t>
            </w:r>
          </w:p>
          <w:p w14:paraId="7A7E2913">
            <w:pPr>
              <w:widowControl/>
              <w:rPr>
                <w:rFonts w:ascii="宋体" w:hAnsi="宋体" w:cs="宋体"/>
                <w:kern w:val="0"/>
                <w:szCs w:val="21"/>
                <w:lang w:bidi="ar"/>
              </w:rPr>
            </w:pPr>
            <w:r>
              <w:rPr>
                <w:rFonts w:hint="eastAsia" w:ascii="宋体" w:hAnsi="宋体" w:cs="宋体"/>
                <w:kern w:val="0"/>
                <w:szCs w:val="21"/>
                <w:lang w:bidi="ar"/>
              </w:rPr>
              <w:t>1.9 对材料的要求：</w:t>
            </w:r>
          </w:p>
          <w:p w14:paraId="5488EF05">
            <w:pPr>
              <w:pStyle w:val="36"/>
              <w:widowControl/>
              <w:ind w:firstLine="0" w:firstLineChars="0"/>
              <w:rPr>
                <w:rFonts w:ascii="宋体" w:hAnsi="宋体" w:cs="宋体"/>
                <w:kern w:val="0"/>
                <w:szCs w:val="21"/>
                <w:lang w:bidi="ar"/>
              </w:rPr>
            </w:pPr>
            <w:r>
              <w:rPr>
                <w:rFonts w:hint="eastAsia" w:ascii="宋体" w:hAnsi="宋体" w:cs="宋体"/>
                <w:kern w:val="0"/>
                <w:szCs w:val="21"/>
                <w:lang w:bidi="ar"/>
              </w:rPr>
              <w:t>1.9.1 极片的宽度误差小于0.1mm；</w:t>
            </w:r>
          </w:p>
          <w:p w14:paraId="4991167D">
            <w:pPr>
              <w:pStyle w:val="36"/>
              <w:widowControl/>
              <w:ind w:firstLine="0" w:firstLineChars="0"/>
              <w:rPr>
                <w:rFonts w:ascii="宋体" w:hAnsi="宋体" w:cs="宋体"/>
                <w:kern w:val="0"/>
                <w:szCs w:val="21"/>
                <w:lang w:bidi="ar"/>
              </w:rPr>
            </w:pPr>
            <w:r>
              <w:rPr>
                <w:rFonts w:hint="eastAsia" w:ascii="宋体" w:hAnsi="宋体" w:cs="宋体"/>
                <w:kern w:val="0"/>
                <w:szCs w:val="21"/>
                <w:lang w:bidi="ar"/>
              </w:rPr>
              <w:t>1.9.2 极片的“S”弯曲误差小于0.5mm/1000mm，且不可有翘边现象；3.隔膜料卷塔形误差小于±0.2mm，且不可有翘边现象；</w:t>
            </w:r>
          </w:p>
          <w:p w14:paraId="243A6CE8">
            <w:pPr>
              <w:pStyle w:val="36"/>
              <w:widowControl/>
              <w:ind w:firstLine="0" w:firstLineChars="0"/>
              <w:rPr>
                <w:rFonts w:ascii="宋体" w:hAnsi="宋体" w:cs="宋体"/>
                <w:kern w:val="0"/>
                <w:szCs w:val="21"/>
                <w:lang w:bidi="ar"/>
              </w:rPr>
            </w:pPr>
            <w:r>
              <w:rPr>
                <w:rFonts w:hint="eastAsia" w:ascii="宋体" w:hAnsi="宋体" w:cs="宋体"/>
                <w:kern w:val="0"/>
                <w:szCs w:val="21"/>
                <w:lang w:bidi="ar"/>
              </w:rPr>
              <w:t>1.10 设备能力：3～6 PPM (与极片长度及人工上料速度有关)；</w:t>
            </w:r>
          </w:p>
          <w:p w14:paraId="3F348919">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2、工艺性能</w:t>
            </w:r>
          </w:p>
          <w:p w14:paraId="5905CB64">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2.1 采用双卷针结构，卷针宽度可以连续调整；</w:t>
            </w:r>
          </w:p>
          <w:p w14:paraId="57FE6E5A">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2.2 具有插片功能，卷绕至设定的圈数后，插入辅助卷针（插片），继续完成卷绕；</w:t>
            </w:r>
          </w:p>
          <w:p w14:paraId="687E1855">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2.3 人工导入极片、自动卷绕、自动换针、自动贴终止胶带及自动下料；</w:t>
            </w:r>
          </w:p>
          <w:p w14:paraId="13350464">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2.4 可实现极耳前置、极耳中置、极耳后置等工艺要求。</w:t>
            </w:r>
          </w:p>
          <w:p w14:paraId="4A4330C0">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2.5 贴胶带采用竖贴方式，贴胶平整，贴胶位置可精准控制且不会将电芯拉紧；贴胶稳定可靠；</w:t>
            </w:r>
          </w:p>
          <w:p w14:paraId="148ED69E">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2.6 卷针卷绕采用变角速度旋转技术，使隔膜与极片供料的线速度相对恒定，即达到卷绕过程中的恒张力目的，保证电芯卷绕整齐一致；</w:t>
            </w:r>
          </w:p>
          <w:p w14:paraId="29284C50">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2.7 两卷隔膜主动放卷，通过连接在张力摆臂轴上的编码器实时检测隔膜张力信号，由PLC处理后控制隔膜放卷步进电机主动跟随张力变化而变速放料，以达到隔膜张力恒定的目的。同时辅以气缸张力控制技术，可在卷绕程中自动平滑调整张力；</w:t>
            </w:r>
          </w:p>
          <w:p w14:paraId="1BC19E91">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2.8 上述的变角速度卷绕、编码器检测张力隔膜放卷变速跟随、辅助气缸张力自动调整、竖贴胶带协同工作，能有效减少电芯鼓壳，将电芯鼓壳控制在极低的水平；</w:t>
            </w:r>
          </w:p>
          <w:p w14:paraId="5B9338AB">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2.9 具有极片粉尘清除装置；</w:t>
            </w:r>
          </w:p>
          <w:p w14:paraId="4781BA47">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2.10 可实现极片外包收尾或隔膜外包收尾；</w:t>
            </w:r>
          </w:p>
          <w:p w14:paraId="4F01C5C8">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2.11 卷出的电芯无破损、抽芯及极片错位现象；</w:t>
            </w:r>
          </w:p>
          <w:p w14:paraId="00AA910E">
            <w:pPr>
              <w:widowControl/>
              <w:rPr>
                <w:rFonts w:ascii="宋体" w:hAnsi="宋体" w:cs="宋体"/>
                <w:kern w:val="0"/>
                <w:szCs w:val="21"/>
                <w:lang w:bidi="ar"/>
              </w:rPr>
            </w:pPr>
            <w:r>
              <w:rPr>
                <w:rFonts w:hint="eastAsia" w:ascii="宋体" w:hAnsi="宋体" w:cs="宋体"/>
                <w:kern w:val="0"/>
                <w:szCs w:val="21"/>
                <w:lang w:bidi="ar"/>
              </w:rPr>
              <w:t>2.12 具有产出统计功能；</w:t>
            </w:r>
          </w:p>
          <w:p w14:paraId="69865618">
            <w:pPr>
              <w:pStyle w:val="36"/>
              <w:widowControl/>
              <w:ind w:firstLine="0" w:firstLineChars="0"/>
              <w:rPr>
                <w:rFonts w:ascii="宋体" w:hAnsi="宋体" w:cs="宋体"/>
                <w:kern w:val="0"/>
                <w:szCs w:val="21"/>
                <w:lang w:bidi="ar"/>
              </w:rPr>
            </w:pPr>
            <w:r>
              <w:rPr>
                <w:rFonts w:hint="eastAsia" w:ascii="宋体" w:hAnsi="宋体" w:cs="宋体"/>
                <w:kern w:val="0"/>
                <w:szCs w:val="21"/>
                <w:lang w:bidi="ar"/>
              </w:rPr>
              <w:t>2.13 整机运行稳定，控制可靠，操作方便；</w:t>
            </w:r>
          </w:p>
        </w:tc>
      </w:tr>
      <w:tr w14:paraId="3F86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3D67469">
            <w:pPr>
              <w:numPr>
                <w:ilvl w:val="0"/>
                <w:numId w:val="2"/>
              </w:numPr>
              <w:ind w:left="0" w:firstLine="0"/>
              <w:jc w:val="center"/>
              <w:rPr>
                <w:rFonts w:ascii="宋体" w:hAnsi="宋体" w:cs="宋体"/>
                <w:szCs w:val="21"/>
              </w:rPr>
            </w:pPr>
          </w:p>
        </w:tc>
        <w:tc>
          <w:tcPr>
            <w:tcW w:w="1276" w:type="dxa"/>
            <w:vAlign w:val="center"/>
          </w:tcPr>
          <w:p w14:paraId="7BE98929">
            <w:pPr>
              <w:jc w:val="center"/>
              <w:rPr>
                <w:rFonts w:ascii="宋体" w:hAnsi="宋体" w:cs="宋体"/>
                <w:szCs w:val="21"/>
              </w:rPr>
            </w:pPr>
            <w:bookmarkStart w:id="41" w:name="OLE_LINK3"/>
            <w:r>
              <w:rPr>
                <w:rFonts w:hint="eastAsia" w:ascii="宋体" w:hAnsi="宋体" w:cs="宋体"/>
                <w:szCs w:val="21"/>
              </w:rPr>
              <w:t>傅里叶变换红外光谱仪</w:t>
            </w:r>
            <w:bookmarkEnd w:id="41"/>
          </w:p>
        </w:tc>
        <w:tc>
          <w:tcPr>
            <w:tcW w:w="709" w:type="dxa"/>
            <w:vAlign w:val="center"/>
          </w:tcPr>
          <w:p w14:paraId="6704121D">
            <w:pPr>
              <w:widowControl/>
              <w:jc w:val="center"/>
              <w:textAlignment w:val="center"/>
              <w:rPr>
                <w:rFonts w:ascii="宋体" w:hAnsi="宋体" w:cs="宋体"/>
                <w:szCs w:val="21"/>
              </w:rPr>
            </w:pPr>
            <w:r>
              <w:rPr>
                <w:rFonts w:hint="eastAsia" w:ascii="宋体" w:hAnsi="宋体" w:cs="宋体"/>
                <w:color w:val="000000"/>
                <w:kern w:val="0"/>
                <w:szCs w:val="21"/>
                <w:lang w:bidi="ar"/>
              </w:rPr>
              <w:t>1</w:t>
            </w:r>
          </w:p>
        </w:tc>
        <w:tc>
          <w:tcPr>
            <w:tcW w:w="709" w:type="dxa"/>
            <w:vAlign w:val="center"/>
          </w:tcPr>
          <w:p w14:paraId="18BC8B08">
            <w:pPr>
              <w:jc w:val="center"/>
              <w:rPr>
                <w:rFonts w:ascii="宋体" w:hAnsi="宋体" w:cs="宋体"/>
                <w:iCs/>
                <w:szCs w:val="21"/>
              </w:rPr>
            </w:pPr>
            <w:r>
              <w:rPr>
                <w:rFonts w:hint="eastAsia" w:ascii="宋体" w:hAnsi="宋体" w:cs="宋体"/>
                <w:iCs/>
                <w:szCs w:val="21"/>
              </w:rPr>
              <w:t>台</w:t>
            </w:r>
          </w:p>
        </w:tc>
        <w:tc>
          <w:tcPr>
            <w:tcW w:w="5611" w:type="dxa"/>
          </w:tcPr>
          <w:p w14:paraId="34261232">
            <w:pPr>
              <w:widowControl/>
              <w:rPr>
                <w:rFonts w:ascii="宋体" w:hAnsi="宋体" w:cs="宋体"/>
                <w:kern w:val="0"/>
                <w:szCs w:val="21"/>
                <w:lang w:bidi="ar"/>
              </w:rPr>
            </w:pPr>
            <w:r>
              <w:rPr>
                <w:rFonts w:hint="eastAsia" w:ascii="宋体" w:hAnsi="宋体" w:cs="宋体"/>
                <w:kern w:val="0"/>
                <w:szCs w:val="21"/>
                <w:lang w:bidi="ar"/>
              </w:rPr>
              <w:t>1、</w:t>
            </w:r>
            <w:r>
              <w:rPr>
                <w:rFonts w:hint="eastAsia" w:ascii="宋体" w:hAnsi="宋体" w:cs="宋体"/>
                <w:kern w:val="0"/>
                <w:szCs w:val="21"/>
                <w:lang w:bidi="ar"/>
              </w:rPr>
              <w:tab/>
            </w:r>
            <w:r>
              <w:rPr>
                <w:rFonts w:hint="eastAsia" w:ascii="宋体" w:hAnsi="宋体" w:cs="宋体"/>
                <w:kern w:val="0"/>
                <w:szCs w:val="21"/>
                <w:lang w:bidi="ar"/>
              </w:rPr>
              <w:t>工作条件</w:t>
            </w:r>
          </w:p>
          <w:p w14:paraId="592CB3BE">
            <w:pPr>
              <w:widowControl/>
              <w:rPr>
                <w:rFonts w:ascii="宋体" w:hAnsi="宋体" w:cs="宋体"/>
                <w:kern w:val="0"/>
                <w:szCs w:val="21"/>
                <w:lang w:bidi="ar"/>
              </w:rPr>
            </w:pPr>
            <w:r>
              <w:rPr>
                <w:rFonts w:hint="eastAsia" w:ascii="宋体" w:hAnsi="宋体" w:cs="宋体"/>
                <w:kern w:val="0"/>
                <w:szCs w:val="21"/>
                <w:lang w:bidi="ar"/>
              </w:rPr>
              <w:t>1.1 环境温度：15-35˚C</w:t>
            </w:r>
          </w:p>
          <w:p w14:paraId="2C897587">
            <w:pPr>
              <w:widowControl/>
              <w:rPr>
                <w:rFonts w:ascii="宋体" w:hAnsi="宋体" w:cs="宋体"/>
                <w:kern w:val="0"/>
                <w:szCs w:val="21"/>
                <w:lang w:bidi="ar"/>
              </w:rPr>
            </w:pPr>
            <w:r>
              <w:rPr>
                <w:rFonts w:hint="eastAsia" w:ascii="宋体" w:hAnsi="宋体" w:cs="宋体"/>
                <w:kern w:val="0"/>
                <w:szCs w:val="21"/>
                <w:lang w:bidi="ar"/>
              </w:rPr>
              <w:t>1.2 相对湿度：≤65%</w:t>
            </w:r>
          </w:p>
          <w:p w14:paraId="3AD75BEF">
            <w:pPr>
              <w:widowControl/>
              <w:rPr>
                <w:rFonts w:ascii="宋体" w:hAnsi="宋体" w:cs="宋体"/>
                <w:kern w:val="0"/>
                <w:szCs w:val="21"/>
                <w:lang w:bidi="ar"/>
              </w:rPr>
            </w:pPr>
            <w:r>
              <w:rPr>
                <w:rFonts w:hint="eastAsia" w:ascii="宋体" w:hAnsi="宋体" w:cs="宋体"/>
                <w:kern w:val="0"/>
                <w:szCs w:val="21"/>
                <w:lang w:bidi="ar"/>
              </w:rPr>
              <w:t>1.3 工作电压：220V±10%，50Hz</w:t>
            </w:r>
          </w:p>
          <w:p w14:paraId="2AC84658">
            <w:pPr>
              <w:widowControl/>
              <w:rPr>
                <w:rFonts w:ascii="宋体" w:hAnsi="宋体" w:cs="宋体"/>
                <w:kern w:val="0"/>
                <w:szCs w:val="21"/>
                <w:lang w:bidi="ar"/>
              </w:rPr>
            </w:pPr>
            <w:r>
              <w:rPr>
                <w:rFonts w:hint="eastAsia" w:ascii="宋体" w:hAnsi="宋体" w:cs="宋体"/>
                <w:kern w:val="0"/>
                <w:szCs w:val="21"/>
                <w:lang w:bidi="ar"/>
              </w:rPr>
              <w:t>2、红外光谱仪主机</w:t>
            </w:r>
          </w:p>
          <w:p w14:paraId="7532781B">
            <w:pPr>
              <w:widowControl/>
              <w:rPr>
                <w:rFonts w:ascii="宋体" w:hAnsi="宋体" w:cs="宋体"/>
                <w:kern w:val="0"/>
                <w:szCs w:val="21"/>
                <w:lang w:bidi="ar"/>
              </w:rPr>
            </w:pPr>
            <w:r>
              <w:rPr>
                <w:rFonts w:hint="eastAsia" w:ascii="宋体" w:hAnsi="宋体" w:cs="宋体"/>
                <w:kern w:val="0"/>
                <w:szCs w:val="21"/>
                <w:lang w:bidi="ar"/>
              </w:rPr>
              <w:t>★2.1 光谱分辨率：≤ 0.4cm</w:t>
            </w:r>
            <w:r>
              <w:rPr>
                <w:rFonts w:ascii="宋体" w:hAnsi="宋体" w:cs="宋体"/>
                <w:kern w:val="0"/>
                <w:szCs w:val="21"/>
                <w:vertAlign w:val="superscript"/>
                <w:lang w:bidi="ar"/>
              </w:rPr>
              <w:t>-1</w:t>
            </w:r>
          </w:p>
          <w:p w14:paraId="15824C97">
            <w:pPr>
              <w:widowControl/>
              <w:rPr>
                <w:rFonts w:ascii="宋体" w:hAnsi="宋体" w:cs="宋体"/>
                <w:kern w:val="0"/>
                <w:szCs w:val="21"/>
                <w:lang w:bidi="ar"/>
              </w:rPr>
            </w:pPr>
            <w:r>
              <w:rPr>
                <w:rFonts w:hint="eastAsia" w:ascii="宋体" w:hAnsi="宋体" w:cs="宋体"/>
                <w:kern w:val="0"/>
                <w:szCs w:val="21"/>
                <w:lang w:bidi="ar"/>
              </w:rPr>
              <w:t>▲2.2 干涉仪：磁悬浮式干涉仪，动镜和定镜均为平面镜，具有每秒13万次连续动态准直功能。</w:t>
            </w:r>
            <w:r>
              <w:rPr>
                <w:rFonts w:hint="eastAsia" w:ascii="宋体" w:hAnsi="宋体" w:cs="宋体"/>
                <w:b/>
                <w:bCs/>
                <w:kern w:val="0"/>
                <w:szCs w:val="21"/>
                <w:lang w:bidi="ar"/>
              </w:rPr>
              <w:t>投标人承诺中标供货后干涉仪提供10年部件质保。</w:t>
            </w:r>
          </w:p>
          <w:p w14:paraId="2CC855B9">
            <w:pPr>
              <w:widowControl/>
              <w:rPr>
                <w:rFonts w:ascii="宋体" w:hAnsi="宋体" w:cs="宋体"/>
                <w:kern w:val="0"/>
                <w:szCs w:val="21"/>
                <w:lang w:bidi="ar"/>
              </w:rPr>
            </w:pPr>
            <w:r>
              <w:rPr>
                <w:rFonts w:hint="eastAsia" w:ascii="宋体" w:hAnsi="宋体" w:cs="宋体"/>
                <w:kern w:val="0"/>
                <w:szCs w:val="21"/>
                <w:lang w:bidi="ar"/>
              </w:rPr>
              <w:t>2.3 光谱范围：8000-350cm</w:t>
            </w:r>
            <w:r>
              <w:rPr>
                <w:rFonts w:ascii="宋体" w:hAnsi="宋体" w:cs="宋体"/>
                <w:kern w:val="0"/>
                <w:szCs w:val="21"/>
                <w:vertAlign w:val="superscript"/>
                <w:lang w:bidi="ar"/>
              </w:rPr>
              <w:t>-1</w:t>
            </w:r>
          </w:p>
          <w:p w14:paraId="768A1AED">
            <w:pPr>
              <w:widowControl/>
              <w:rPr>
                <w:rFonts w:ascii="宋体" w:hAnsi="宋体" w:cs="宋体"/>
                <w:kern w:val="0"/>
                <w:szCs w:val="21"/>
                <w:lang w:bidi="ar"/>
              </w:rPr>
            </w:pPr>
            <w:r>
              <w:rPr>
                <w:rFonts w:hint="eastAsia" w:ascii="宋体" w:hAnsi="宋体" w:cs="宋体"/>
                <w:kern w:val="0"/>
                <w:szCs w:val="21"/>
                <w:lang w:bidi="ar"/>
              </w:rPr>
              <w:t>▲2.4 信噪比：≥ 45000：1 （峰-峰值，4cm</w:t>
            </w:r>
            <w:r>
              <w:rPr>
                <w:rFonts w:ascii="宋体" w:hAnsi="宋体" w:cs="宋体"/>
                <w:kern w:val="0"/>
                <w:szCs w:val="21"/>
                <w:vertAlign w:val="superscript"/>
                <w:lang w:bidi="ar"/>
              </w:rPr>
              <w:t>-1</w:t>
            </w:r>
            <w:r>
              <w:rPr>
                <w:rFonts w:hint="eastAsia" w:ascii="宋体" w:hAnsi="宋体" w:cs="宋体"/>
                <w:kern w:val="0"/>
                <w:szCs w:val="21"/>
                <w:lang w:bidi="ar"/>
              </w:rPr>
              <w:t xml:space="preserve"> 分辨率，1分钟扫描，DLaTGS检测器）</w:t>
            </w:r>
          </w:p>
          <w:p w14:paraId="7D102234">
            <w:pPr>
              <w:widowControl/>
              <w:rPr>
                <w:rFonts w:ascii="宋体" w:hAnsi="宋体" w:cs="宋体"/>
                <w:kern w:val="0"/>
                <w:szCs w:val="21"/>
                <w:lang w:bidi="ar"/>
              </w:rPr>
            </w:pPr>
            <w:r>
              <w:rPr>
                <w:rFonts w:hint="eastAsia" w:ascii="宋体" w:hAnsi="宋体" w:cs="宋体"/>
                <w:kern w:val="0"/>
                <w:szCs w:val="21"/>
                <w:lang w:bidi="ar"/>
              </w:rPr>
              <w:t>2.5 红外光源：单点光源，具有无热点迁移、实现无与伦比的数据重复性、超长使用寿命等特点。</w:t>
            </w:r>
            <w:r>
              <w:rPr>
                <w:rFonts w:hint="eastAsia" w:ascii="宋体" w:hAnsi="宋体" w:cs="宋体"/>
                <w:b/>
                <w:bCs/>
                <w:kern w:val="0"/>
                <w:szCs w:val="21"/>
                <w:lang w:bidi="ar"/>
              </w:rPr>
              <w:t>投标人承诺中标供货后宏外关源提供10年部件质保。</w:t>
            </w:r>
          </w:p>
          <w:p w14:paraId="140EF665">
            <w:pPr>
              <w:widowControl/>
              <w:rPr>
                <w:rFonts w:ascii="宋体" w:hAnsi="宋体" w:cs="宋体"/>
                <w:kern w:val="0"/>
                <w:szCs w:val="21"/>
                <w:lang w:bidi="ar"/>
              </w:rPr>
            </w:pPr>
            <w:r>
              <w:rPr>
                <w:rFonts w:hint="eastAsia" w:ascii="宋体" w:hAnsi="宋体" w:cs="宋体"/>
                <w:kern w:val="0"/>
                <w:szCs w:val="21"/>
                <w:lang w:bidi="ar"/>
              </w:rPr>
              <w:t>2.6 分束器：涂锗的溴化钾分束器</w:t>
            </w:r>
          </w:p>
          <w:p w14:paraId="3F57206F">
            <w:pPr>
              <w:widowControl/>
              <w:rPr>
                <w:rFonts w:ascii="宋体" w:hAnsi="宋体" w:cs="宋体"/>
                <w:kern w:val="0"/>
                <w:szCs w:val="21"/>
                <w:lang w:bidi="ar"/>
              </w:rPr>
            </w:pPr>
            <w:r>
              <w:rPr>
                <w:rFonts w:hint="eastAsia" w:ascii="宋体" w:hAnsi="宋体" w:cs="宋体"/>
                <w:kern w:val="0"/>
                <w:szCs w:val="21"/>
                <w:lang w:bidi="ar"/>
              </w:rPr>
              <w:t>2.7 检测器：DLaTGS检测器（12500 cm</w:t>
            </w:r>
            <w:r>
              <w:rPr>
                <w:rFonts w:ascii="宋体" w:hAnsi="宋体" w:cs="宋体"/>
                <w:kern w:val="0"/>
                <w:szCs w:val="21"/>
                <w:vertAlign w:val="superscript"/>
                <w:lang w:bidi="ar"/>
              </w:rPr>
              <w:t>-1</w:t>
            </w:r>
            <w:r>
              <w:rPr>
                <w:rFonts w:hint="eastAsia" w:ascii="宋体" w:hAnsi="宋体" w:cs="宋体"/>
                <w:kern w:val="0"/>
                <w:szCs w:val="21"/>
                <w:lang w:bidi="ar"/>
              </w:rPr>
              <w:t xml:space="preserve"> - 350 cm</w:t>
            </w:r>
            <w:r>
              <w:rPr>
                <w:rFonts w:ascii="宋体" w:hAnsi="宋体" w:cs="宋体"/>
                <w:kern w:val="0"/>
                <w:szCs w:val="21"/>
                <w:vertAlign w:val="superscript"/>
                <w:lang w:bidi="ar"/>
              </w:rPr>
              <w:t>-1</w:t>
            </w:r>
            <w:r>
              <w:rPr>
                <w:rFonts w:hint="eastAsia" w:ascii="宋体" w:hAnsi="宋体" w:cs="宋体"/>
                <w:kern w:val="0"/>
                <w:szCs w:val="21"/>
                <w:lang w:bidi="ar"/>
              </w:rPr>
              <w:t>）</w:t>
            </w:r>
          </w:p>
          <w:p w14:paraId="1E0B96BA">
            <w:pPr>
              <w:widowControl/>
              <w:rPr>
                <w:rFonts w:ascii="宋体" w:hAnsi="宋体" w:cs="宋体"/>
                <w:kern w:val="0"/>
                <w:szCs w:val="21"/>
                <w:lang w:bidi="ar"/>
              </w:rPr>
            </w:pPr>
            <w:r>
              <w:rPr>
                <w:rFonts w:hint="eastAsia" w:ascii="宋体" w:hAnsi="宋体" w:cs="宋体"/>
                <w:kern w:val="0"/>
                <w:szCs w:val="21"/>
                <w:lang w:bidi="ar"/>
              </w:rPr>
              <w:t>▲2.8 激光器：长寿命固态温控二极管激光器，</w:t>
            </w:r>
            <w:r>
              <w:rPr>
                <w:rFonts w:hint="eastAsia" w:ascii="宋体" w:hAnsi="宋体" w:cs="宋体"/>
                <w:b/>
                <w:bCs/>
                <w:kern w:val="0"/>
                <w:szCs w:val="21"/>
                <w:lang w:bidi="ar"/>
              </w:rPr>
              <w:t>投标人承诺中标供货后激光器提供 10 年部件质保。</w:t>
            </w:r>
          </w:p>
          <w:p w14:paraId="546517C8">
            <w:pPr>
              <w:widowControl/>
              <w:rPr>
                <w:rFonts w:ascii="宋体" w:hAnsi="宋体" w:cs="宋体"/>
                <w:kern w:val="0"/>
                <w:szCs w:val="21"/>
                <w:lang w:bidi="ar"/>
              </w:rPr>
            </w:pPr>
            <w:r>
              <w:rPr>
                <w:rFonts w:hint="eastAsia" w:ascii="宋体" w:hAnsi="宋体" w:cs="宋体"/>
                <w:kern w:val="0"/>
                <w:szCs w:val="21"/>
                <w:lang w:bidi="ar"/>
              </w:rPr>
              <w:t>▲2.9 波数精度：≤ 0.001cm</w:t>
            </w:r>
            <w:r>
              <w:rPr>
                <w:rFonts w:ascii="宋体" w:hAnsi="宋体" w:cs="宋体"/>
                <w:kern w:val="0"/>
                <w:szCs w:val="21"/>
                <w:vertAlign w:val="superscript"/>
                <w:lang w:bidi="ar"/>
              </w:rPr>
              <w:t>-1</w:t>
            </w:r>
            <w:r>
              <w:rPr>
                <w:rFonts w:hint="eastAsia" w:ascii="宋体" w:hAnsi="宋体" w:cs="宋体"/>
                <w:kern w:val="0"/>
                <w:szCs w:val="21"/>
                <w:lang w:bidi="ar"/>
              </w:rPr>
              <w:t xml:space="preserve"> ，在2000cm</w:t>
            </w:r>
            <w:r>
              <w:rPr>
                <w:rFonts w:ascii="宋体" w:hAnsi="宋体" w:cs="宋体"/>
                <w:kern w:val="0"/>
                <w:szCs w:val="21"/>
                <w:vertAlign w:val="superscript"/>
                <w:lang w:bidi="ar"/>
              </w:rPr>
              <w:t>-1</w:t>
            </w:r>
            <w:r>
              <w:rPr>
                <w:rFonts w:hint="eastAsia" w:ascii="宋体" w:hAnsi="宋体" w:cs="宋体"/>
                <w:kern w:val="0"/>
                <w:szCs w:val="21"/>
                <w:lang w:bidi="ar"/>
              </w:rPr>
              <w:t>处</w:t>
            </w:r>
          </w:p>
          <w:p w14:paraId="5AF1C29B">
            <w:pPr>
              <w:widowControl/>
              <w:rPr>
                <w:rFonts w:ascii="宋体" w:hAnsi="宋体" w:cs="宋体"/>
                <w:kern w:val="0"/>
                <w:szCs w:val="21"/>
                <w:lang w:bidi="ar"/>
              </w:rPr>
            </w:pPr>
            <w:r>
              <w:rPr>
                <w:rFonts w:hint="eastAsia" w:ascii="宋体" w:hAnsi="宋体" w:cs="宋体"/>
                <w:kern w:val="0"/>
                <w:szCs w:val="21"/>
                <w:lang w:bidi="ar"/>
              </w:rPr>
              <w:t>2.10 波数准确度：≤ 0.05cm</w:t>
            </w:r>
            <w:r>
              <w:rPr>
                <w:rFonts w:ascii="宋体" w:hAnsi="宋体" w:cs="宋体"/>
                <w:kern w:val="0"/>
                <w:szCs w:val="21"/>
                <w:vertAlign w:val="superscript"/>
                <w:lang w:bidi="ar"/>
              </w:rPr>
              <w:t>-1</w:t>
            </w:r>
            <w:r>
              <w:rPr>
                <w:rFonts w:hint="eastAsia" w:ascii="宋体" w:hAnsi="宋体" w:cs="宋体"/>
                <w:kern w:val="0"/>
                <w:szCs w:val="21"/>
                <w:lang w:bidi="ar"/>
              </w:rPr>
              <w:t xml:space="preserve"> ，在2000cm</w:t>
            </w:r>
            <w:r>
              <w:rPr>
                <w:rFonts w:ascii="宋体" w:hAnsi="宋体" w:cs="宋体"/>
                <w:kern w:val="0"/>
                <w:szCs w:val="21"/>
                <w:vertAlign w:val="superscript"/>
                <w:lang w:bidi="ar"/>
              </w:rPr>
              <w:t>-1</w:t>
            </w:r>
            <w:r>
              <w:rPr>
                <w:rFonts w:hint="eastAsia" w:ascii="宋体" w:hAnsi="宋体" w:cs="宋体"/>
                <w:kern w:val="0"/>
                <w:szCs w:val="21"/>
                <w:lang w:bidi="ar"/>
              </w:rPr>
              <w:t>处</w:t>
            </w:r>
          </w:p>
          <w:p w14:paraId="3DF41CE8">
            <w:pPr>
              <w:widowControl/>
              <w:rPr>
                <w:rFonts w:ascii="宋体" w:hAnsi="宋体" w:cs="宋体"/>
                <w:kern w:val="0"/>
                <w:szCs w:val="21"/>
                <w:lang w:bidi="ar"/>
              </w:rPr>
            </w:pPr>
            <w:r>
              <w:rPr>
                <w:rFonts w:hint="eastAsia" w:ascii="宋体" w:hAnsi="宋体" w:cs="宋体"/>
                <w:kern w:val="0"/>
                <w:szCs w:val="21"/>
                <w:lang w:bidi="ar"/>
              </w:rPr>
              <w:t>★2.11 纵坐标线性度(ASTM E1421)：&lt;0.15%，在0.0%T偏离测量</w:t>
            </w:r>
          </w:p>
          <w:p w14:paraId="294A8E38">
            <w:pPr>
              <w:widowControl/>
              <w:rPr>
                <w:rFonts w:ascii="宋体" w:hAnsi="宋体" w:cs="宋体"/>
                <w:kern w:val="0"/>
                <w:szCs w:val="21"/>
                <w:lang w:bidi="ar"/>
              </w:rPr>
            </w:pPr>
            <w:r>
              <w:rPr>
                <w:rFonts w:hint="eastAsia" w:ascii="宋体" w:hAnsi="宋体" w:cs="宋体"/>
                <w:kern w:val="0"/>
                <w:szCs w:val="21"/>
                <w:lang w:bidi="ar"/>
              </w:rPr>
              <w:t>2.12 系统验证： NG－11玻璃片用于检测器线性测试，1.5mil厚的NIST可溯源PS薄膜，认证轮上必须标有序列号和数据失效日期</w:t>
            </w:r>
          </w:p>
          <w:p w14:paraId="00048E5B">
            <w:pPr>
              <w:widowControl/>
              <w:rPr>
                <w:rFonts w:ascii="宋体" w:hAnsi="宋体" w:cs="宋体"/>
                <w:kern w:val="0"/>
                <w:szCs w:val="21"/>
                <w:lang w:bidi="ar"/>
              </w:rPr>
            </w:pPr>
            <w:r>
              <w:rPr>
                <w:rFonts w:hint="eastAsia" w:ascii="宋体" w:hAnsi="宋体" w:cs="宋体"/>
                <w:kern w:val="0"/>
                <w:szCs w:val="21"/>
                <w:lang w:bidi="ar"/>
              </w:rPr>
              <w:t>2.13 安全认证软件：数据库架构设计，符合欧盟、美国、日本和中国药典要求</w:t>
            </w:r>
          </w:p>
          <w:p w14:paraId="0A057C9E">
            <w:pPr>
              <w:widowControl/>
              <w:rPr>
                <w:rFonts w:ascii="宋体" w:hAnsi="宋体" w:cs="宋体"/>
                <w:kern w:val="0"/>
                <w:szCs w:val="21"/>
                <w:lang w:bidi="ar"/>
              </w:rPr>
            </w:pPr>
            <w:r>
              <w:rPr>
                <w:rFonts w:hint="eastAsia" w:ascii="宋体" w:hAnsi="宋体" w:cs="宋体"/>
                <w:kern w:val="0"/>
                <w:szCs w:val="21"/>
                <w:lang w:bidi="ar"/>
              </w:rPr>
              <w:t>3、操作软件</w:t>
            </w:r>
          </w:p>
          <w:p w14:paraId="3106AEDA">
            <w:pPr>
              <w:widowControl/>
              <w:rPr>
                <w:rFonts w:ascii="宋体" w:hAnsi="宋体" w:cs="宋体"/>
                <w:kern w:val="0"/>
                <w:szCs w:val="21"/>
                <w:lang w:bidi="ar"/>
              </w:rPr>
            </w:pPr>
            <w:r>
              <w:rPr>
                <w:rFonts w:hint="eastAsia" w:ascii="宋体" w:hAnsi="宋体" w:cs="宋体"/>
                <w:kern w:val="0"/>
                <w:szCs w:val="21"/>
                <w:lang w:bidi="ar"/>
              </w:rPr>
              <w:t>3.1 软件必须完全与Windows 10(32-bit and 64-bit)专业版兼容，功能包括数据采集、数据处理、谱库检索、谱图解析等。要求全部汉化，可用中文对谱图进行标注。实时显示系统当前所处的状态，并实时给出主要元器件的电流、电压、温度值，指示出故障问题并指导使用者如何解决故障问题。</w:t>
            </w:r>
          </w:p>
          <w:p w14:paraId="24AB0359">
            <w:pPr>
              <w:widowControl/>
              <w:rPr>
                <w:rFonts w:ascii="宋体" w:hAnsi="宋体" w:cs="宋体"/>
                <w:kern w:val="0"/>
                <w:szCs w:val="21"/>
                <w:lang w:bidi="ar"/>
              </w:rPr>
            </w:pPr>
            <w:r>
              <w:rPr>
                <w:rFonts w:hint="eastAsia" w:ascii="宋体" w:hAnsi="宋体" w:cs="宋体"/>
                <w:kern w:val="0"/>
                <w:szCs w:val="21"/>
                <w:lang w:bidi="ar"/>
              </w:rPr>
              <w:t>▲3.2 高灵敏度谱图鉴别软件：内置高精度算法，具有高精度识别功能，无需模型可以鉴别药物的不同晶型、不同种类的天然产物、组分含量不同的药物等。</w:t>
            </w:r>
          </w:p>
          <w:p w14:paraId="3D8B2CFB">
            <w:pPr>
              <w:widowControl/>
              <w:rPr>
                <w:rFonts w:ascii="宋体" w:hAnsi="宋体" w:cs="宋体"/>
                <w:kern w:val="0"/>
                <w:szCs w:val="21"/>
                <w:lang w:bidi="ar"/>
              </w:rPr>
            </w:pPr>
            <w:r>
              <w:rPr>
                <w:rFonts w:hint="eastAsia" w:ascii="宋体" w:hAnsi="宋体" w:cs="宋体"/>
                <w:kern w:val="0"/>
                <w:szCs w:val="21"/>
                <w:lang w:bidi="ar"/>
              </w:rPr>
              <w:t>3.3 ATR高级校正功能：配置不同晶体和入射角度ATR附件的各种校正模型，可精确校正ATR检测对光谱的峰强、位移以及非极化的影响，使ATR谱图与透过谱图达到优于97%最佳匹配度。</w:t>
            </w:r>
          </w:p>
          <w:p w14:paraId="726FDF98">
            <w:pPr>
              <w:widowControl/>
              <w:rPr>
                <w:rFonts w:ascii="宋体" w:hAnsi="宋体" w:cs="宋体"/>
                <w:kern w:val="0"/>
                <w:szCs w:val="21"/>
                <w:lang w:bidi="ar"/>
              </w:rPr>
            </w:pPr>
            <w:r>
              <w:rPr>
                <w:rFonts w:hint="eastAsia" w:ascii="宋体" w:hAnsi="宋体" w:cs="宋体"/>
                <w:kern w:val="0"/>
                <w:szCs w:val="21"/>
                <w:lang w:bidi="ar"/>
              </w:rPr>
              <w:t>3.4 混合物分析软件及红外谱图库：包含高级材料分析软件和常用红外标准数据库，用户可自行添加谱库，自动实现混合物中各个组分的定性和半定量分析。</w:t>
            </w:r>
          </w:p>
          <w:p w14:paraId="0FB9638E">
            <w:pPr>
              <w:widowControl/>
              <w:rPr>
                <w:rFonts w:ascii="宋体" w:hAnsi="宋体" w:cs="宋体"/>
                <w:kern w:val="0"/>
                <w:szCs w:val="21"/>
                <w:lang w:bidi="ar"/>
              </w:rPr>
            </w:pPr>
            <w:r>
              <w:rPr>
                <w:rFonts w:hint="eastAsia" w:ascii="宋体" w:hAnsi="宋体" w:cs="宋体"/>
                <w:kern w:val="0"/>
                <w:szCs w:val="21"/>
                <w:lang w:bidi="ar"/>
              </w:rPr>
              <w:t>4、配套附件</w:t>
            </w:r>
          </w:p>
          <w:p w14:paraId="6790B232">
            <w:pPr>
              <w:widowControl/>
              <w:rPr>
                <w:rFonts w:ascii="宋体" w:hAnsi="宋体" w:cs="宋体"/>
                <w:kern w:val="0"/>
                <w:szCs w:val="21"/>
                <w:lang w:bidi="ar"/>
              </w:rPr>
            </w:pPr>
            <w:r>
              <w:rPr>
                <w:rFonts w:hint="eastAsia" w:ascii="宋体" w:hAnsi="宋体" w:cs="宋体"/>
                <w:kern w:val="0"/>
                <w:szCs w:val="21"/>
                <w:lang w:bidi="ar"/>
              </w:rPr>
              <w:t>4.1 智能型透射测样附件，1个</w:t>
            </w:r>
          </w:p>
          <w:p w14:paraId="7AF86762">
            <w:pPr>
              <w:widowControl/>
              <w:rPr>
                <w:rFonts w:ascii="宋体" w:hAnsi="宋体" w:cs="宋体"/>
                <w:kern w:val="0"/>
                <w:szCs w:val="21"/>
                <w:lang w:bidi="ar"/>
              </w:rPr>
            </w:pPr>
            <w:r>
              <w:rPr>
                <w:rFonts w:hint="eastAsia" w:ascii="宋体" w:hAnsi="宋体" w:cs="宋体"/>
                <w:kern w:val="0"/>
                <w:szCs w:val="21"/>
                <w:lang w:bidi="ar"/>
              </w:rPr>
              <w:t>4.2 软件自动识别并自动设置实验参数，1个</w:t>
            </w:r>
          </w:p>
          <w:p w14:paraId="63A83276">
            <w:pPr>
              <w:widowControl/>
              <w:rPr>
                <w:rFonts w:ascii="宋体" w:hAnsi="宋体" w:cs="宋体"/>
                <w:kern w:val="0"/>
                <w:szCs w:val="21"/>
                <w:lang w:bidi="ar"/>
              </w:rPr>
            </w:pPr>
            <w:r>
              <w:rPr>
                <w:rFonts w:hint="eastAsia" w:ascii="宋体" w:hAnsi="宋体" w:cs="宋体"/>
                <w:kern w:val="0"/>
                <w:szCs w:val="21"/>
                <w:lang w:bidi="ar"/>
              </w:rPr>
              <w:t>4.3 电脑：配置不低于：i5-8500 4.10GHz处理器， 8GB内存，500GB硬盘，DVD刻录，23寸LCD显示器，Windows 10专业版系统， 1台</w:t>
            </w:r>
          </w:p>
          <w:p w14:paraId="49155142">
            <w:pPr>
              <w:widowControl/>
              <w:rPr>
                <w:rFonts w:ascii="宋体" w:hAnsi="宋体" w:cs="宋体"/>
                <w:kern w:val="0"/>
                <w:szCs w:val="21"/>
                <w:lang w:bidi="ar"/>
              </w:rPr>
            </w:pPr>
            <w:r>
              <w:rPr>
                <w:rFonts w:hint="eastAsia" w:ascii="宋体" w:hAnsi="宋体" w:cs="宋体"/>
                <w:kern w:val="0"/>
                <w:szCs w:val="21"/>
                <w:lang w:bidi="ar"/>
              </w:rPr>
              <w:t>5、技术支持及售后服务</w:t>
            </w:r>
          </w:p>
          <w:p w14:paraId="229E3D06">
            <w:pPr>
              <w:widowControl/>
              <w:rPr>
                <w:rFonts w:ascii="宋体" w:hAnsi="宋体" w:cs="宋体"/>
                <w:kern w:val="0"/>
                <w:szCs w:val="21"/>
                <w:lang w:bidi="ar"/>
              </w:rPr>
            </w:pPr>
            <w:r>
              <w:rPr>
                <w:rFonts w:hint="eastAsia" w:ascii="宋体" w:hAnsi="宋体" w:cs="宋体"/>
                <w:kern w:val="0"/>
                <w:szCs w:val="21"/>
                <w:lang w:bidi="ar"/>
              </w:rPr>
              <w:t>5.1 卖方需对仪器的维修、备件的供应、技术咨询等提供长期、可靠的服务，拥有完善的800免费服务热线。</w:t>
            </w:r>
          </w:p>
          <w:p w14:paraId="09CCC73D">
            <w:pPr>
              <w:widowControl/>
              <w:rPr>
                <w:rFonts w:ascii="宋体" w:hAnsi="宋体" w:cs="宋体"/>
                <w:kern w:val="0"/>
                <w:szCs w:val="21"/>
                <w:lang w:bidi="ar"/>
              </w:rPr>
            </w:pPr>
            <w:r>
              <w:rPr>
                <w:rFonts w:hint="eastAsia" w:ascii="宋体" w:hAnsi="宋体" w:cs="宋体"/>
                <w:kern w:val="0"/>
                <w:szCs w:val="21"/>
                <w:lang w:bidi="ar"/>
              </w:rPr>
              <w:t>★5.2 保修期：整机系统保修一年，包括部件和人工，自安装验收合格之日起计算，干涉仪、红外光源、激光器等核心部件保修十年。</w:t>
            </w:r>
          </w:p>
        </w:tc>
      </w:tr>
      <w:tr w14:paraId="01A1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299685C">
            <w:pPr>
              <w:numPr>
                <w:ilvl w:val="0"/>
                <w:numId w:val="2"/>
              </w:numPr>
              <w:ind w:left="0" w:firstLine="0"/>
              <w:jc w:val="center"/>
              <w:rPr>
                <w:rFonts w:ascii="宋体" w:hAnsi="宋体" w:cs="宋体"/>
                <w:szCs w:val="21"/>
              </w:rPr>
            </w:pPr>
          </w:p>
        </w:tc>
        <w:tc>
          <w:tcPr>
            <w:tcW w:w="1276" w:type="dxa"/>
            <w:vAlign w:val="center"/>
          </w:tcPr>
          <w:p w14:paraId="67068E03">
            <w:pPr>
              <w:jc w:val="center"/>
              <w:rPr>
                <w:rFonts w:ascii="宋体" w:hAnsi="宋体" w:cs="宋体"/>
                <w:szCs w:val="21"/>
              </w:rPr>
            </w:pPr>
            <w:r>
              <w:rPr>
                <w:rFonts w:hint="eastAsia" w:ascii="宋体" w:hAnsi="宋体" w:cs="宋体"/>
                <w:szCs w:val="21"/>
              </w:rPr>
              <w:t>石墨炉+单火焰原子吸收一体机</w:t>
            </w:r>
          </w:p>
        </w:tc>
        <w:tc>
          <w:tcPr>
            <w:tcW w:w="709" w:type="dxa"/>
            <w:vAlign w:val="center"/>
          </w:tcPr>
          <w:p w14:paraId="2060BF81">
            <w:pPr>
              <w:widowControl/>
              <w:jc w:val="center"/>
              <w:textAlignment w:val="center"/>
              <w:rPr>
                <w:rFonts w:ascii="宋体" w:hAnsi="宋体" w:cs="宋体"/>
                <w:szCs w:val="21"/>
              </w:rPr>
            </w:pPr>
            <w:r>
              <w:rPr>
                <w:rFonts w:hint="eastAsia" w:ascii="宋体" w:hAnsi="宋体" w:cs="宋体"/>
                <w:color w:val="000000"/>
                <w:kern w:val="0"/>
                <w:szCs w:val="21"/>
                <w:lang w:bidi="ar"/>
              </w:rPr>
              <w:t>1</w:t>
            </w:r>
          </w:p>
        </w:tc>
        <w:tc>
          <w:tcPr>
            <w:tcW w:w="709" w:type="dxa"/>
            <w:vAlign w:val="center"/>
          </w:tcPr>
          <w:p w14:paraId="0ACDB358">
            <w:pPr>
              <w:jc w:val="center"/>
              <w:rPr>
                <w:rFonts w:ascii="宋体" w:hAnsi="宋体" w:cs="宋体"/>
                <w:iCs/>
                <w:szCs w:val="21"/>
              </w:rPr>
            </w:pPr>
            <w:r>
              <w:rPr>
                <w:rFonts w:hint="eastAsia" w:ascii="宋体" w:hAnsi="宋体" w:cs="宋体"/>
                <w:iCs/>
                <w:szCs w:val="21"/>
              </w:rPr>
              <w:t>套</w:t>
            </w:r>
          </w:p>
        </w:tc>
        <w:tc>
          <w:tcPr>
            <w:tcW w:w="5611" w:type="dxa"/>
          </w:tcPr>
          <w:p w14:paraId="71902935">
            <w:pPr>
              <w:widowControl/>
              <w:rPr>
                <w:rFonts w:ascii="宋体" w:hAnsi="宋体" w:cs="宋体"/>
                <w:kern w:val="0"/>
                <w:szCs w:val="21"/>
                <w:lang w:bidi="ar"/>
              </w:rPr>
            </w:pPr>
            <w:r>
              <w:rPr>
                <w:rFonts w:hint="eastAsia" w:ascii="宋体" w:hAnsi="宋体" w:cs="宋体"/>
                <w:kern w:val="0"/>
                <w:szCs w:val="21"/>
                <w:lang w:bidi="ar"/>
              </w:rPr>
              <w:t>1、主要功能</w:t>
            </w:r>
          </w:p>
          <w:p w14:paraId="2429C70C">
            <w:pPr>
              <w:widowControl/>
              <w:rPr>
                <w:rFonts w:ascii="宋体" w:hAnsi="宋体" w:cs="宋体"/>
                <w:kern w:val="0"/>
                <w:szCs w:val="21"/>
                <w:lang w:bidi="ar"/>
              </w:rPr>
            </w:pPr>
            <w:r>
              <w:rPr>
                <w:rFonts w:hint="eastAsia" w:ascii="宋体" w:hAnsi="宋体" w:cs="宋体"/>
                <w:kern w:val="0"/>
                <w:szCs w:val="21"/>
                <w:lang w:bidi="ar"/>
              </w:rPr>
              <w:t>1.1 全面安全的智能气体控制模块：采用智能12级乙炔气体线性流量调节和多级辅助空气调节控制模块；具有智能气体异常报警和断开功能；具有火焰助燃气异常压力监视器，分析时空气压力监视器实时监测空气压力的变化，一旦出现异常，自动切断助燃气体，安全熄火。</w:t>
            </w:r>
          </w:p>
          <w:p w14:paraId="6AA5ADE1">
            <w:pPr>
              <w:widowControl/>
              <w:rPr>
                <w:rFonts w:ascii="宋体" w:hAnsi="宋体" w:cs="宋体"/>
                <w:kern w:val="0"/>
                <w:szCs w:val="21"/>
                <w:lang w:bidi="ar"/>
              </w:rPr>
            </w:pPr>
            <w:r>
              <w:rPr>
                <w:rFonts w:hint="eastAsia" w:ascii="宋体" w:hAnsi="宋体" w:cs="宋体"/>
                <w:kern w:val="0"/>
                <w:szCs w:val="21"/>
                <w:lang w:bidi="ar"/>
              </w:rPr>
              <w:t>1.2 光学系统采用Czerny-Turner型单色器，刻线密度1800条/mm平面衍射光栅，闪耀波长250nm；采用20mm厚度全铝一体化悬浮式避震光学平台。</w:t>
            </w:r>
          </w:p>
          <w:p w14:paraId="15B0DAD1">
            <w:pPr>
              <w:widowControl/>
              <w:rPr>
                <w:rFonts w:ascii="宋体" w:hAnsi="宋体" w:cs="宋体"/>
                <w:kern w:val="0"/>
                <w:szCs w:val="21"/>
                <w:lang w:bidi="ar"/>
              </w:rPr>
            </w:pPr>
            <w:r>
              <w:rPr>
                <w:rFonts w:hint="eastAsia" w:ascii="宋体" w:hAnsi="宋体" w:cs="宋体"/>
                <w:kern w:val="0"/>
                <w:szCs w:val="21"/>
                <w:lang w:bidi="ar"/>
              </w:rPr>
              <w:t>1.3 具有全波段氘灯背景校正和高性能自吸双背景校正。</w:t>
            </w:r>
          </w:p>
          <w:p w14:paraId="393BF1D1">
            <w:pPr>
              <w:widowControl/>
              <w:rPr>
                <w:rFonts w:ascii="宋体" w:hAnsi="宋体" w:cs="宋体"/>
                <w:kern w:val="0"/>
                <w:szCs w:val="21"/>
                <w:lang w:bidi="ar"/>
              </w:rPr>
            </w:pPr>
            <w:r>
              <w:rPr>
                <w:rFonts w:hint="eastAsia" w:ascii="宋体" w:hAnsi="宋体" w:cs="宋体"/>
                <w:kern w:val="0"/>
                <w:szCs w:val="21"/>
                <w:lang w:bidi="ar"/>
              </w:rPr>
              <w:t>1.4 全自动控制，自动控制波长扫描、按峰值检索方式自动寻峰定位、自动调整高压、能量自动平衡。</w:t>
            </w:r>
          </w:p>
          <w:p w14:paraId="17B9C799">
            <w:pPr>
              <w:widowControl/>
              <w:rPr>
                <w:rFonts w:ascii="宋体" w:hAnsi="宋体" w:cs="宋体"/>
                <w:kern w:val="0"/>
                <w:szCs w:val="21"/>
                <w:lang w:bidi="ar"/>
              </w:rPr>
            </w:pPr>
            <w:r>
              <w:rPr>
                <w:rFonts w:hint="eastAsia" w:ascii="宋体" w:hAnsi="宋体" w:cs="宋体"/>
                <w:kern w:val="0"/>
                <w:szCs w:val="21"/>
                <w:lang w:bidi="ar"/>
              </w:rPr>
              <w:t>1.5 采用8/4灯架垂直安装，360°自动旋转切换设计、自动进行灯位微调，具有一灯工作一灯预热功能，具备编码灯功能，可有效提升分析效率；灯位全自动调节；可同时配置两只高性能空心阴极灯使用。</w:t>
            </w:r>
          </w:p>
          <w:p w14:paraId="45CFC531">
            <w:pPr>
              <w:widowControl/>
              <w:rPr>
                <w:rFonts w:ascii="宋体" w:hAnsi="宋体" w:cs="宋体"/>
                <w:kern w:val="0"/>
                <w:szCs w:val="21"/>
                <w:lang w:bidi="ar"/>
              </w:rPr>
            </w:pPr>
            <w:r>
              <w:rPr>
                <w:rFonts w:hint="eastAsia" w:ascii="宋体" w:hAnsi="宋体" w:cs="宋体"/>
                <w:kern w:val="0"/>
                <w:szCs w:val="21"/>
                <w:lang w:bidi="ar"/>
              </w:rPr>
              <w:t>1.6 原子化器自动智能升降，获得最大灵敏度。</w:t>
            </w:r>
          </w:p>
          <w:p w14:paraId="351533A2">
            <w:pPr>
              <w:widowControl/>
              <w:rPr>
                <w:rFonts w:ascii="宋体" w:hAnsi="宋体" w:cs="宋体"/>
                <w:kern w:val="0"/>
                <w:szCs w:val="21"/>
                <w:lang w:bidi="ar"/>
              </w:rPr>
            </w:pPr>
            <w:r>
              <w:rPr>
                <w:rFonts w:hint="eastAsia" w:ascii="宋体" w:hAnsi="宋体" w:cs="宋体"/>
                <w:kern w:val="0"/>
                <w:szCs w:val="21"/>
                <w:lang w:bidi="ar"/>
              </w:rPr>
              <w:t>1.7 可选吸光度、浓度、发射强度的测定，提供时间平均、峰高和峰面积三种读数方式，具有原子吸收、背景吸收、扣背景校正、发射强度四种信号方式。</w:t>
            </w:r>
          </w:p>
          <w:p w14:paraId="22A32682">
            <w:pPr>
              <w:widowControl/>
              <w:rPr>
                <w:rFonts w:ascii="宋体" w:hAnsi="宋体" w:cs="宋体"/>
                <w:kern w:val="0"/>
                <w:szCs w:val="21"/>
                <w:lang w:bidi="ar"/>
              </w:rPr>
            </w:pPr>
            <w:r>
              <w:rPr>
                <w:rFonts w:hint="eastAsia" w:ascii="宋体" w:hAnsi="宋体" w:cs="宋体"/>
                <w:kern w:val="0"/>
                <w:szCs w:val="21"/>
                <w:lang w:bidi="ar"/>
              </w:rPr>
              <w:t>1.8 仪器可完全由PC端控制操作，RG-WinAAS工作站软件实时监测数据变化；软件配备审计追踪功能，便于用户日常管理，保证数据的安全性。</w:t>
            </w:r>
          </w:p>
          <w:p w14:paraId="76D039B1">
            <w:pPr>
              <w:widowControl/>
              <w:rPr>
                <w:rFonts w:ascii="宋体" w:hAnsi="宋体" w:cs="宋体"/>
                <w:kern w:val="0"/>
                <w:szCs w:val="21"/>
                <w:lang w:bidi="ar"/>
              </w:rPr>
            </w:pPr>
            <w:r>
              <w:rPr>
                <w:rFonts w:hint="eastAsia" w:ascii="宋体" w:hAnsi="宋体" w:cs="宋体"/>
                <w:kern w:val="0"/>
                <w:szCs w:val="21"/>
                <w:lang w:bidi="ar"/>
              </w:rPr>
              <w:t>1.9 QA/QC功能：每测试一次，均提交测试中Abs.的SD、RSD，同时提供计算浓度的SD、RSD，测试标准样品工作曲线可自动检查曲线相关系数，以确保试验的精度。</w:t>
            </w:r>
          </w:p>
          <w:p w14:paraId="1C73193A">
            <w:pPr>
              <w:widowControl/>
              <w:rPr>
                <w:rFonts w:ascii="宋体" w:hAnsi="宋体" w:cs="宋体"/>
                <w:kern w:val="0"/>
                <w:szCs w:val="21"/>
                <w:lang w:bidi="ar"/>
              </w:rPr>
            </w:pPr>
            <w:r>
              <w:rPr>
                <w:rFonts w:hint="eastAsia" w:ascii="宋体" w:hAnsi="宋体" w:cs="宋体"/>
                <w:kern w:val="0"/>
                <w:szCs w:val="21"/>
                <w:lang w:bidi="ar"/>
              </w:rPr>
              <w:t>1.10  1-20点标准浓度校准，可用单一标样进行斜率重校，保证仪器长时间工作的稳定性。设有直线回归、曲线拟合、线性及非线性标准加入法测定、平均值和相对标准偏差等功能。</w:t>
            </w:r>
          </w:p>
          <w:p w14:paraId="367F03AC">
            <w:pPr>
              <w:widowControl/>
              <w:rPr>
                <w:rFonts w:ascii="宋体" w:hAnsi="宋体" w:cs="宋体"/>
                <w:kern w:val="0"/>
                <w:szCs w:val="21"/>
                <w:lang w:bidi="ar"/>
              </w:rPr>
            </w:pPr>
            <w:r>
              <w:rPr>
                <w:rFonts w:hint="eastAsia" w:ascii="宋体" w:hAnsi="宋体" w:cs="宋体"/>
                <w:kern w:val="0"/>
                <w:szCs w:val="21"/>
                <w:lang w:bidi="ar"/>
              </w:rPr>
              <w:t>1.11 工作方法可存储。可自动核算样品实际浓度值。</w:t>
            </w:r>
          </w:p>
          <w:p w14:paraId="1824C736">
            <w:pPr>
              <w:widowControl/>
              <w:rPr>
                <w:rFonts w:ascii="宋体" w:hAnsi="宋体" w:cs="宋体"/>
                <w:kern w:val="0"/>
                <w:szCs w:val="21"/>
                <w:lang w:bidi="ar"/>
              </w:rPr>
            </w:pPr>
            <w:r>
              <w:rPr>
                <w:rFonts w:hint="eastAsia" w:ascii="宋体" w:hAnsi="宋体" w:cs="宋体"/>
                <w:kern w:val="0"/>
                <w:szCs w:val="21"/>
                <w:lang w:bidi="ar"/>
              </w:rPr>
              <w:t>1.12 原子吸收工作站审计追踪功能，适配GMP/GLP合规要求，可对仪器检测全流程自动留痕、不可篡改、全程可追溯，配合权限管理与电子签名，实现检测数据真实、过程可控、责任可溯。</w:t>
            </w:r>
          </w:p>
          <w:p w14:paraId="332137BF">
            <w:pPr>
              <w:widowControl/>
              <w:rPr>
                <w:rFonts w:ascii="宋体" w:hAnsi="宋体" w:cs="宋体"/>
                <w:kern w:val="0"/>
                <w:szCs w:val="21"/>
                <w:lang w:bidi="ar"/>
              </w:rPr>
            </w:pPr>
            <w:r>
              <w:rPr>
                <w:rFonts w:hint="eastAsia" w:ascii="宋体" w:hAnsi="宋体" w:cs="宋体"/>
                <w:kern w:val="0"/>
                <w:szCs w:val="21"/>
                <w:lang w:bidi="ar"/>
              </w:rPr>
              <w:t>2、火焰原子化系统</w:t>
            </w:r>
          </w:p>
          <w:p w14:paraId="649F4B40">
            <w:pPr>
              <w:widowControl/>
              <w:rPr>
                <w:rFonts w:ascii="宋体" w:hAnsi="宋体" w:cs="宋体"/>
                <w:kern w:val="0"/>
                <w:szCs w:val="21"/>
                <w:lang w:bidi="ar"/>
              </w:rPr>
            </w:pPr>
            <w:r>
              <w:rPr>
                <w:rFonts w:hint="eastAsia" w:ascii="宋体" w:hAnsi="宋体" w:cs="宋体"/>
                <w:kern w:val="0"/>
                <w:szCs w:val="21"/>
                <w:lang w:bidi="ar"/>
              </w:rPr>
              <w:t>2.1 采用金属钛燃烧器，可自由旋转、上下前后可调，配合耐腐蚀专用高效可调雾化器，具有火焰塞曼扣背景能力。</w:t>
            </w:r>
          </w:p>
          <w:p w14:paraId="3FFE1015">
            <w:pPr>
              <w:widowControl/>
              <w:rPr>
                <w:rFonts w:ascii="宋体" w:hAnsi="宋体" w:cs="宋体"/>
                <w:kern w:val="0"/>
                <w:szCs w:val="21"/>
                <w:lang w:bidi="ar"/>
              </w:rPr>
            </w:pPr>
            <w:r>
              <w:rPr>
                <w:rFonts w:hint="eastAsia" w:ascii="宋体" w:hAnsi="宋体" w:cs="宋体"/>
                <w:kern w:val="0"/>
                <w:szCs w:val="21"/>
                <w:lang w:bidi="ar"/>
              </w:rPr>
              <w:t>2.2 耐腐蚀聚四氟乙烯材料雾化室系统。</w:t>
            </w:r>
          </w:p>
          <w:p w14:paraId="308A3A00">
            <w:pPr>
              <w:widowControl/>
              <w:rPr>
                <w:rFonts w:ascii="宋体" w:hAnsi="宋体" w:cs="宋体"/>
                <w:kern w:val="0"/>
                <w:szCs w:val="21"/>
                <w:lang w:bidi="ar"/>
              </w:rPr>
            </w:pPr>
            <w:r>
              <w:rPr>
                <w:rFonts w:hint="eastAsia" w:ascii="宋体" w:hAnsi="宋体" w:cs="宋体"/>
                <w:kern w:val="0"/>
                <w:szCs w:val="21"/>
                <w:lang w:bidi="ar"/>
              </w:rPr>
              <w:t>2.3 火焰系统兼具自动点火和手动点火，火焰燃气和助燃气气路独立分开且可精确控制流量。</w:t>
            </w:r>
          </w:p>
          <w:p w14:paraId="6F66AA7D">
            <w:pPr>
              <w:widowControl/>
              <w:rPr>
                <w:rFonts w:ascii="宋体" w:hAnsi="宋体" w:cs="宋体"/>
                <w:kern w:val="0"/>
                <w:szCs w:val="21"/>
                <w:lang w:bidi="ar"/>
              </w:rPr>
            </w:pPr>
            <w:r>
              <w:rPr>
                <w:rFonts w:hint="eastAsia" w:ascii="宋体" w:hAnsi="宋体" w:cs="宋体"/>
                <w:kern w:val="0"/>
                <w:szCs w:val="21"/>
                <w:lang w:bidi="ar"/>
              </w:rPr>
              <w:t>2.4 仪器光路系统单双光束任意可选。</w:t>
            </w:r>
          </w:p>
          <w:p w14:paraId="05BF0037">
            <w:pPr>
              <w:widowControl/>
              <w:rPr>
                <w:rFonts w:ascii="宋体" w:hAnsi="宋体" w:cs="宋体"/>
                <w:kern w:val="0"/>
                <w:szCs w:val="21"/>
                <w:lang w:bidi="ar"/>
              </w:rPr>
            </w:pPr>
            <w:r>
              <w:rPr>
                <w:rFonts w:hint="eastAsia" w:ascii="宋体" w:hAnsi="宋体" w:cs="宋体"/>
                <w:kern w:val="0"/>
                <w:szCs w:val="21"/>
                <w:lang w:bidi="ar"/>
              </w:rPr>
              <w:t>2.5 仪器标配与主机生产厂家同一品牌的氢化物发生器用于氢化物原子吸收光谱法测定痕量（ppb级）重金属元素（砷、硒、锑、铋、锡、铅、碲、锗、镉、汞）。</w:t>
            </w:r>
          </w:p>
          <w:p w14:paraId="34DBBE1A">
            <w:pPr>
              <w:widowControl/>
              <w:rPr>
                <w:rFonts w:ascii="宋体" w:hAnsi="宋体" w:cs="宋体"/>
                <w:kern w:val="0"/>
                <w:szCs w:val="21"/>
                <w:lang w:bidi="ar"/>
              </w:rPr>
            </w:pPr>
            <w:r>
              <w:rPr>
                <w:rFonts w:hint="eastAsia" w:ascii="宋体" w:hAnsi="宋体" w:cs="宋体"/>
                <w:kern w:val="0"/>
                <w:szCs w:val="21"/>
                <w:lang w:bidi="ar"/>
              </w:rPr>
              <w:t>2.6 单火焰自动进样器，放置式自由安装。</w:t>
            </w:r>
          </w:p>
          <w:p w14:paraId="146AF1EA">
            <w:pPr>
              <w:widowControl/>
              <w:rPr>
                <w:rFonts w:ascii="宋体" w:hAnsi="宋体" w:cs="宋体"/>
                <w:kern w:val="0"/>
                <w:szCs w:val="21"/>
                <w:lang w:bidi="ar"/>
              </w:rPr>
            </w:pPr>
            <w:r>
              <w:rPr>
                <w:rFonts w:hint="eastAsia" w:ascii="宋体" w:hAnsi="宋体" w:cs="宋体"/>
                <w:kern w:val="0"/>
                <w:szCs w:val="21"/>
                <w:lang w:bidi="ar"/>
              </w:rPr>
              <w:t>3、石墨炉原子化系统</w:t>
            </w:r>
          </w:p>
          <w:p w14:paraId="05CC876F">
            <w:pPr>
              <w:widowControl/>
              <w:rPr>
                <w:rFonts w:ascii="宋体" w:hAnsi="宋体" w:cs="宋体"/>
                <w:kern w:val="0"/>
                <w:szCs w:val="21"/>
                <w:lang w:bidi="ar"/>
              </w:rPr>
            </w:pPr>
            <w:r>
              <w:rPr>
                <w:rFonts w:hint="eastAsia" w:ascii="宋体" w:hAnsi="宋体" w:cs="宋体"/>
                <w:kern w:val="0"/>
                <w:szCs w:val="21"/>
                <w:lang w:bidi="ar"/>
              </w:rPr>
              <w:t>3.1 石墨炉原子化系统采用PID 技术，原子化升温方式包括光控升温，时控升温，一般升温方式。</w:t>
            </w:r>
          </w:p>
          <w:p w14:paraId="057FEA1E">
            <w:pPr>
              <w:widowControl/>
              <w:rPr>
                <w:rFonts w:ascii="宋体" w:hAnsi="宋体" w:cs="宋体"/>
                <w:kern w:val="0"/>
                <w:szCs w:val="21"/>
                <w:lang w:bidi="ar"/>
              </w:rPr>
            </w:pPr>
            <w:r>
              <w:rPr>
                <w:rFonts w:hint="eastAsia" w:ascii="宋体" w:hAnsi="宋体" w:cs="宋体"/>
                <w:kern w:val="0"/>
                <w:szCs w:val="21"/>
                <w:lang w:bidi="ar"/>
              </w:rPr>
              <w:t>3.2 配备独特长寿命石墨管。</w:t>
            </w:r>
          </w:p>
          <w:p w14:paraId="1962E10D">
            <w:pPr>
              <w:widowControl/>
              <w:rPr>
                <w:rFonts w:ascii="宋体" w:hAnsi="宋体" w:cs="宋体"/>
                <w:kern w:val="0"/>
                <w:szCs w:val="21"/>
                <w:lang w:bidi="ar"/>
              </w:rPr>
            </w:pPr>
            <w:r>
              <w:rPr>
                <w:rFonts w:hint="eastAsia" w:ascii="宋体" w:hAnsi="宋体" w:cs="宋体"/>
                <w:kern w:val="0"/>
                <w:szCs w:val="21"/>
                <w:lang w:bidi="ar"/>
              </w:rPr>
              <w:t>3.3 具备石墨管内外气路双重保护功能，管内气流量四档可调，9段线性或非线性升温方式。</w:t>
            </w:r>
          </w:p>
          <w:p w14:paraId="2DD6B0CB">
            <w:pPr>
              <w:widowControl/>
              <w:rPr>
                <w:rFonts w:ascii="宋体" w:hAnsi="宋体" w:cs="宋体"/>
                <w:kern w:val="0"/>
                <w:szCs w:val="21"/>
                <w:lang w:bidi="ar"/>
              </w:rPr>
            </w:pPr>
            <w:r>
              <w:rPr>
                <w:rFonts w:hint="eastAsia" w:ascii="宋体" w:hAnsi="宋体" w:cs="宋体"/>
                <w:kern w:val="0"/>
                <w:szCs w:val="21"/>
                <w:lang w:bidi="ar"/>
              </w:rPr>
              <w:t>3.4 光控传感器监测石墨管内壁温度，最高可升温至3000℃，最大升温速率 2000℃/秒。原子化升温方式兼顾光控升温，时控升温，一般升温。</w:t>
            </w:r>
          </w:p>
          <w:p w14:paraId="1B269BB1">
            <w:pPr>
              <w:widowControl/>
              <w:rPr>
                <w:rFonts w:ascii="宋体" w:hAnsi="宋体" w:cs="宋体"/>
                <w:kern w:val="0"/>
                <w:szCs w:val="21"/>
                <w:lang w:bidi="ar"/>
              </w:rPr>
            </w:pPr>
            <w:r>
              <w:rPr>
                <w:rFonts w:hint="eastAsia" w:ascii="宋体" w:hAnsi="宋体" w:cs="宋体"/>
                <w:kern w:val="0"/>
                <w:szCs w:val="21"/>
                <w:lang w:bidi="ar"/>
              </w:rPr>
              <w:t>3.5 石墨炉原子化系统具有冷却水流量不足、氩气压力不足、石墨炉炉体温度过高、电源温度异常、石墨管安装接触不良报警功能，并自动切断升温程序，确保操作使用过程的安全性。</w:t>
            </w:r>
          </w:p>
          <w:p w14:paraId="741FEF88">
            <w:pPr>
              <w:widowControl/>
              <w:rPr>
                <w:rFonts w:ascii="宋体" w:hAnsi="宋体" w:cs="宋体"/>
                <w:kern w:val="0"/>
                <w:szCs w:val="21"/>
                <w:lang w:bidi="ar"/>
              </w:rPr>
            </w:pPr>
            <w:r>
              <w:rPr>
                <w:rFonts w:hint="eastAsia" w:ascii="宋体" w:hAnsi="宋体" w:cs="宋体"/>
                <w:kern w:val="0"/>
                <w:szCs w:val="21"/>
                <w:lang w:bidi="ar"/>
              </w:rPr>
              <w:t>3.6 悬挂式安装石墨炉自动进样器，具有清洗功能，软件兼具多种清洗模式，且清洗无次数限制</w:t>
            </w:r>
          </w:p>
          <w:p w14:paraId="3DDB97E8">
            <w:pPr>
              <w:widowControl/>
              <w:rPr>
                <w:rFonts w:ascii="宋体" w:hAnsi="宋体" w:cs="宋体"/>
                <w:kern w:val="0"/>
                <w:szCs w:val="21"/>
                <w:lang w:bidi="ar"/>
              </w:rPr>
            </w:pPr>
            <w:r>
              <w:rPr>
                <w:rFonts w:hint="eastAsia" w:ascii="宋体" w:hAnsi="宋体" w:cs="宋体"/>
                <w:kern w:val="0"/>
                <w:szCs w:val="21"/>
                <w:lang w:bidi="ar"/>
              </w:rPr>
              <w:t>4、石墨炉自动进样器参数</w:t>
            </w:r>
          </w:p>
          <w:p w14:paraId="58A23C28">
            <w:pPr>
              <w:widowControl/>
              <w:rPr>
                <w:rFonts w:ascii="宋体" w:hAnsi="宋体" w:cs="宋体"/>
                <w:kern w:val="0"/>
                <w:szCs w:val="21"/>
                <w:lang w:bidi="ar"/>
              </w:rPr>
            </w:pPr>
            <w:r>
              <w:rPr>
                <w:rFonts w:hint="eastAsia" w:ascii="宋体" w:hAnsi="宋体" w:cs="宋体"/>
                <w:kern w:val="0"/>
                <w:szCs w:val="21"/>
                <w:lang w:bidi="ar"/>
              </w:rPr>
              <w:t>4.1 配备精度极高的针管注射泵。</w:t>
            </w:r>
          </w:p>
          <w:p w14:paraId="1A5EED54">
            <w:pPr>
              <w:widowControl/>
              <w:rPr>
                <w:rFonts w:ascii="宋体" w:hAnsi="宋体" w:cs="宋体"/>
                <w:kern w:val="0"/>
                <w:szCs w:val="21"/>
                <w:lang w:bidi="ar"/>
              </w:rPr>
            </w:pPr>
            <w:r>
              <w:rPr>
                <w:rFonts w:hint="eastAsia" w:ascii="宋体" w:hAnsi="宋体" w:cs="宋体"/>
                <w:kern w:val="0"/>
                <w:szCs w:val="21"/>
                <w:lang w:bidi="ar"/>
              </w:rPr>
              <w:t>4.2 具有清洗功能，软件兼具多种清洗模式，且清洗无次数限制。</w:t>
            </w:r>
          </w:p>
          <w:p w14:paraId="20D4B005">
            <w:pPr>
              <w:widowControl/>
              <w:rPr>
                <w:rFonts w:ascii="宋体" w:hAnsi="宋体" w:cs="宋体"/>
                <w:kern w:val="0"/>
                <w:szCs w:val="21"/>
                <w:lang w:bidi="ar"/>
              </w:rPr>
            </w:pPr>
            <w:r>
              <w:rPr>
                <w:rFonts w:hint="eastAsia" w:ascii="宋体" w:hAnsi="宋体" w:cs="宋体"/>
                <w:kern w:val="0"/>
                <w:szCs w:val="21"/>
                <w:lang w:bidi="ar"/>
              </w:rPr>
              <w:t>4.3 样品位数 : ≥112位</w:t>
            </w:r>
          </w:p>
          <w:p w14:paraId="65651E34">
            <w:pPr>
              <w:widowControl/>
              <w:rPr>
                <w:rFonts w:ascii="宋体" w:hAnsi="宋体" w:cs="宋体"/>
                <w:kern w:val="0"/>
                <w:szCs w:val="21"/>
                <w:lang w:bidi="ar"/>
              </w:rPr>
            </w:pPr>
            <w:r>
              <w:rPr>
                <w:rFonts w:hint="eastAsia" w:ascii="宋体" w:hAnsi="宋体" w:cs="宋体"/>
                <w:kern w:val="0"/>
                <w:szCs w:val="21"/>
                <w:lang w:bidi="ar"/>
              </w:rPr>
              <w:t>4.4 注射泵规格: 250 uL</w:t>
            </w:r>
          </w:p>
          <w:p w14:paraId="47D48027">
            <w:pPr>
              <w:widowControl/>
              <w:rPr>
                <w:rFonts w:ascii="宋体" w:hAnsi="宋体" w:cs="宋体"/>
                <w:kern w:val="0"/>
                <w:szCs w:val="21"/>
                <w:lang w:bidi="ar"/>
              </w:rPr>
            </w:pPr>
            <w:r>
              <w:rPr>
                <w:rFonts w:hint="eastAsia" w:ascii="宋体" w:hAnsi="宋体" w:cs="宋体"/>
                <w:kern w:val="0"/>
                <w:szCs w:val="21"/>
                <w:lang w:bidi="ar"/>
              </w:rPr>
              <w:t>4.5 运动方式 :  转盘式</w:t>
            </w:r>
          </w:p>
          <w:p w14:paraId="6C1C6CF9">
            <w:pPr>
              <w:widowControl/>
              <w:rPr>
                <w:rFonts w:ascii="宋体" w:hAnsi="宋体" w:cs="宋体"/>
                <w:kern w:val="0"/>
                <w:szCs w:val="21"/>
                <w:lang w:bidi="ar"/>
              </w:rPr>
            </w:pPr>
            <w:r>
              <w:rPr>
                <w:rFonts w:hint="eastAsia" w:ascii="宋体" w:hAnsi="宋体" w:cs="宋体"/>
                <w:kern w:val="0"/>
                <w:szCs w:val="21"/>
                <w:lang w:bidi="ar"/>
              </w:rPr>
              <w:t>4.6 进样针清洗方式: 内外壁自动清洗</w:t>
            </w:r>
          </w:p>
          <w:p w14:paraId="30D072D3">
            <w:pPr>
              <w:widowControl/>
              <w:rPr>
                <w:rFonts w:ascii="宋体" w:hAnsi="宋体" w:cs="宋体"/>
                <w:kern w:val="0"/>
                <w:szCs w:val="21"/>
                <w:lang w:bidi="ar"/>
              </w:rPr>
            </w:pPr>
            <w:r>
              <w:rPr>
                <w:rFonts w:hint="eastAsia" w:ascii="宋体" w:hAnsi="宋体" w:cs="宋体"/>
                <w:kern w:val="0"/>
                <w:szCs w:val="21"/>
                <w:lang w:bidi="ar"/>
              </w:rPr>
              <w:t>4.7 通讯方式:  RS232</w:t>
            </w:r>
          </w:p>
          <w:p w14:paraId="06630133">
            <w:pPr>
              <w:widowControl/>
              <w:rPr>
                <w:rFonts w:ascii="宋体" w:hAnsi="宋体" w:cs="宋体"/>
                <w:kern w:val="0"/>
                <w:szCs w:val="21"/>
                <w:lang w:bidi="ar"/>
              </w:rPr>
            </w:pPr>
            <w:r>
              <w:rPr>
                <w:rFonts w:hint="eastAsia" w:ascii="宋体" w:hAnsi="宋体" w:cs="宋体"/>
                <w:kern w:val="0"/>
                <w:szCs w:val="21"/>
                <w:lang w:bidi="ar"/>
              </w:rPr>
              <w:t>5、技术参数</w:t>
            </w:r>
          </w:p>
          <w:p w14:paraId="4569303F">
            <w:pPr>
              <w:widowControl/>
              <w:rPr>
                <w:rFonts w:ascii="宋体" w:hAnsi="宋体" w:cs="宋体"/>
                <w:kern w:val="0"/>
                <w:szCs w:val="21"/>
                <w:lang w:bidi="ar"/>
              </w:rPr>
            </w:pPr>
            <w:r>
              <w:rPr>
                <w:rFonts w:hint="eastAsia" w:ascii="宋体" w:hAnsi="宋体" w:cs="宋体"/>
                <w:kern w:val="0"/>
                <w:szCs w:val="21"/>
                <w:lang w:bidi="ar"/>
              </w:rPr>
              <w:t>5.1 光学系统：仪器类型 双光束</w:t>
            </w:r>
          </w:p>
          <w:p w14:paraId="3CF91809">
            <w:pPr>
              <w:widowControl/>
              <w:rPr>
                <w:rFonts w:ascii="宋体" w:hAnsi="宋体" w:cs="宋体"/>
                <w:kern w:val="0"/>
                <w:szCs w:val="21"/>
                <w:lang w:bidi="ar"/>
              </w:rPr>
            </w:pPr>
            <w:r>
              <w:rPr>
                <w:rFonts w:hint="eastAsia" w:ascii="宋体" w:hAnsi="宋体" w:cs="宋体"/>
                <w:kern w:val="0"/>
                <w:szCs w:val="21"/>
                <w:lang w:bidi="ar"/>
              </w:rPr>
              <w:t>5.2 单色器：消象差 C-T 型，焦距 350mm</w:t>
            </w:r>
          </w:p>
          <w:p w14:paraId="00ED67A8">
            <w:pPr>
              <w:widowControl/>
              <w:rPr>
                <w:rFonts w:ascii="宋体" w:hAnsi="宋体" w:cs="宋体"/>
                <w:kern w:val="0"/>
                <w:szCs w:val="21"/>
                <w:lang w:bidi="ar"/>
              </w:rPr>
            </w:pPr>
            <w:r>
              <w:rPr>
                <w:rFonts w:hint="eastAsia" w:ascii="宋体" w:hAnsi="宋体" w:cs="宋体"/>
                <w:kern w:val="0"/>
                <w:szCs w:val="21"/>
                <w:lang w:bidi="ar"/>
              </w:rPr>
              <w:t>5.3 色散元件：光栅1800条/mm，闪烁波长250nm</w:t>
            </w:r>
          </w:p>
          <w:p w14:paraId="30781E26">
            <w:pPr>
              <w:widowControl/>
              <w:rPr>
                <w:rFonts w:ascii="宋体" w:hAnsi="宋体" w:cs="宋体"/>
                <w:kern w:val="0"/>
                <w:szCs w:val="21"/>
                <w:lang w:bidi="ar"/>
              </w:rPr>
            </w:pPr>
            <w:r>
              <w:rPr>
                <w:rFonts w:hint="eastAsia" w:ascii="宋体" w:hAnsi="宋体" w:cs="宋体"/>
                <w:kern w:val="0"/>
                <w:szCs w:val="21"/>
                <w:lang w:bidi="ar"/>
              </w:rPr>
              <w:t>5.4 光谱带宽(nm) ：0.1、0.2、0.4、0.7、1.4、2nm 六档自动切换</w:t>
            </w:r>
          </w:p>
          <w:p w14:paraId="24E2769D">
            <w:pPr>
              <w:widowControl/>
              <w:rPr>
                <w:rFonts w:ascii="宋体" w:hAnsi="宋体" w:cs="宋体"/>
                <w:kern w:val="0"/>
                <w:szCs w:val="21"/>
                <w:lang w:bidi="ar"/>
              </w:rPr>
            </w:pPr>
            <w:r>
              <w:rPr>
                <w:rFonts w:hint="eastAsia" w:ascii="宋体" w:hAnsi="宋体" w:cs="宋体"/>
                <w:kern w:val="0"/>
                <w:szCs w:val="21"/>
                <w:lang w:bidi="ar"/>
              </w:rPr>
              <w:t>5.5 波长范围(nm)：185-900</w:t>
            </w:r>
          </w:p>
          <w:p w14:paraId="61B4E8EE">
            <w:pPr>
              <w:widowControl/>
              <w:rPr>
                <w:rFonts w:ascii="宋体" w:hAnsi="宋体" w:cs="宋体"/>
                <w:kern w:val="0"/>
                <w:szCs w:val="21"/>
                <w:lang w:bidi="ar"/>
              </w:rPr>
            </w:pPr>
            <w:r>
              <w:rPr>
                <w:rFonts w:hint="eastAsia" w:ascii="宋体" w:hAnsi="宋体" w:cs="宋体"/>
                <w:kern w:val="0"/>
                <w:szCs w:val="21"/>
                <w:lang w:bidi="ar"/>
              </w:rPr>
              <w:t>5.6 波长示值误差：0.15 nm</w:t>
            </w:r>
          </w:p>
          <w:p w14:paraId="23BC7BA4">
            <w:pPr>
              <w:widowControl/>
              <w:rPr>
                <w:rFonts w:ascii="宋体" w:hAnsi="宋体" w:cs="宋体"/>
                <w:kern w:val="0"/>
                <w:szCs w:val="21"/>
                <w:lang w:bidi="ar"/>
              </w:rPr>
            </w:pPr>
            <w:r>
              <w:rPr>
                <w:rFonts w:hint="eastAsia" w:ascii="宋体" w:hAnsi="宋体" w:cs="宋体"/>
                <w:kern w:val="0"/>
                <w:szCs w:val="21"/>
                <w:lang w:bidi="ar"/>
              </w:rPr>
              <w:t>5.7 波长重复性(nm)：≤0.05nm</w:t>
            </w:r>
          </w:p>
          <w:p w14:paraId="2D3EEB13">
            <w:pPr>
              <w:widowControl/>
              <w:rPr>
                <w:rFonts w:ascii="宋体" w:hAnsi="宋体" w:cs="宋体"/>
                <w:kern w:val="0"/>
                <w:szCs w:val="21"/>
                <w:lang w:bidi="ar"/>
              </w:rPr>
            </w:pPr>
            <w:r>
              <w:rPr>
                <w:rFonts w:hint="eastAsia" w:ascii="宋体" w:hAnsi="宋体" w:cs="宋体"/>
                <w:kern w:val="0"/>
                <w:szCs w:val="21"/>
                <w:lang w:bidi="ar"/>
              </w:rPr>
              <w:t>5.8 光谱带宽偏差：±0.02 nm</w:t>
            </w:r>
          </w:p>
          <w:p w14:paraId="21AD9FD9">
            <w:pPr>
              <w:widowControl/>
              <w:rPr>
                <w:rFonts w:ascii="宋体" w:hAnsi="宋体" w:cs="宋体"/>
                <w:kern w:val="0"/>
                <w:szCs w:val="21"/>
                <w:lang w:bidi="ar"/>
              </w:rPr>
            </w:pPr>
            <w:r>
              <w:rPr>
                <w:rFonts w:hint="eastAsia" w:ascii="宋体" w:hAnsi="宋体" w:cs="宋体"/>
                <w:kern w:val="0"/>
                <w:szCs w:val="21"/>
                <w:lang w:bidi="ar"/>
              </w:rPr>
              <w:t>5.9 灯位：8 灯</w:t>
            </w:r>
          </w:p>
          <w:p w14:paraId="5DAE22C4">
            <w:pPr>
              <w:widowControl/>
              <w:rPr>
                <w:rFonts w:ascii="宋体" w:hAnsi="宋体" w:cs="宋体"/>
                <w:kern w:val="0"/>
                <w:szCs w:val="21"/>
                <w:lang w:bidi="ar"/>
              </w:rPr>
            </w:pPr>
            <w:r>
              <w:rPr>
                <w:rFonts w:hint="eastAsia" w:ascii="宋体" w:hAnsi="宋体" w:cs="宋体"/>
                <w:kern w:val="0"/>
                <w:szCs w:val="21"/>
                <w:lang w:bidi="ar"/>
              </w:rPr>
              <w:t>5.10 元素灯类型：空心阴极灯</w:t>
            </w:r>
          </w:p>
          <w:p w14:paraId="1D9A4BBB">
            <w:pPr>
              <w:widowControl/>
              <w:rPr>
                <w:rFonts w:ascii="宋体" w:hAnsi="宋体" w:cs="宋体"/>
                <w:kern w:val="0"/>
                <w:szCs w:val="21"/>
                <w:lang w:bidi="ar"/>
              </w:rPr>
            </w:pPr>
            <w:r>
              <w:rPr>
                <w:rFonts w:hint="eastAsia" w:ascii="宋体" w:hAnsi="宋体" w:cs="宋体"/>
                <w:kern w:val="0"/>
                <w:szCs w:val="21"/>
                <w:lang w:bidi="ar"/>
              </w:rPr>
              <w:t>5.1</w:t>
            </w:r>
            <w:r>
              <w:rPr>
                <w:rFonts w:ascii="宋体" w:hAnsi="宋体" w:cs="宋体"/>
                <w:kern w:val="0"/>
                <w:szCs w:val="21"/>
                <w:lang w:bidi="ar"/>
              </w:rPr>
              <w:t>1</w:t>
            </w:r>
            <w:r>
              <w:rPr>
                <w:rFonts w:hint="eastAsia" w:ascii="宋体" w:hAnsi="宋体" w:cs="宋体"/>
                <w:kern w:val="0"/>
                <w:szCs w:val="21"/>
                <w:lang w:bidi="ar"/>
              </w:rPr>
              <w:t xml:space="preserve"> 光度范围：0-125%，-0.1-3.00A</w:t>
            </w:r>
          </w:p>
          <w:p w14:paraId="0B8CE76F">
            <w:pPr>
              <w:widowControl/>
              <w:rPr>
                <w:rFonts w:ascii="宋体" w:hAnsi="宋体" w:cs="宋体"/>
                <w:kern w:val="0"/>
                <w:szCs w:val="21"/>
                <w:lang w:bidi="ar"/>
              </w:rPr>
            </w:pPr>
            <w:r>
              <w:rPr>
                <w:rFonts w:hint="eastAsia" w:ascii="宋体" w:hAnsi="宋体" w:cs="宋体"/>
                <w:kern w:val="0"/>
                <w:szCs w:val="21"/>
                <w:lang w:bidi="ar"/>
              </w:rPr>
              <w:t>5.1</w:t>
            </w:r>
            <w:r>
              <w:rPr>
                <w:rFonts w:ascii="宋体" w:hAnsi="宋体" w:cs="宋体"/>
                <w:kern w:val="0"/>
                <w:szCs w:val="21"/>
                <w:lang w:bidi="ar"/>
              </w:rPr>
              <w:t>2</w:t>
            </w:r>
            <w:r>
              <w:rPr>
                <w:rFonts w:hint="eastAsia" w:ascii="宋体" w:hAnsi="宋体" w:cs="宋体"/>
                <w:kern w:val="0"/>
                <w:szCs w:val="21"/>
                <w:lang w:bidi="ar"/>
              </w:rPr>
              <w:t xml:space="preserve"> Cu 静态基线漂移：±0.002A/30min</w:t>
            </w:r>
          </w:p>
          <w:p w14:paraId="6BF644C7">
            <w:pPr>
              <w:widowControl/>
              <w:rPr>
                <w:rFonts w:ascii="宋体" w:hAnsi="宋体" w:cs="宋体"/>
                <w:kern w:val="0"/>
                <w:szCs w:val="21"/>
                <w:lang w:bidi="ar"/>
              </w:rPr>
            </w:pPr>
            <w:r>
              <w:rPr>
                <w:rFonts w:hint="eastAsia" w:ascii="宋体" w:hAnsi="宋体" w:cs="宋体"/>
                <w:kern w:val="0"/>
                <w:szCs w:val="21"/>
                <w:lang w:bidi="ar"/>
              </w:rPr>
              <w:t>5.1</w:t>
            </w:r>
            <w:r>
              <w:rPr>
                <w:rFonts w:ascii="宋体" w:hAnsi="宋体" w:cs="宋体"/>
                <w:kern w:val="0"/>
                <w:szCs w:val="21"/>
                <w:lang w:bidi="ar"/>
              </w:rPr>
              <w:t>3</w:t>
            </w:r>
            <w:r>
              <w:rPr>
                <w:rFonts w:hint="eastAsia" w:ascii="宋体" w:hAnsi="宋体" w:cs="宋体"/>
                <w:kern w:val="0"/>
                <w:szCs w:val="21"/>
                <w:lang w:bidi="ar"/>
              </w:rPr>
              <w:t xml:space="preserve"> Cu 动态基线漂移：±0.004A/15min</w:t>
            </w:r>
          </w:p>
          <w:p w14:paraId="686B764F">
            <w:pPr>
              <w:widowControl/>
              <w:rPr>
                <w:rFonts w:ascii="宋体" w:hAnsi="宋体" w:cs="宋体"/>
                <w:kern w:val="0"/>
                <w:szCs w:val="21"/>
                <w:lang w:bidi="ar"/>
              </w:rPr>
            </w:pPr>
            <w:r>
              <w:rPr>
                <w:rFonts w:hint="eastAsia" w:ascii="宋体" w:hAnsi="宋体" w:cs="宋体"/>
                <w:kern w:val="0"/>
                <w:szCs w:val="21"/>
                <w:lang w:bidi="ar"/>
              </w:rPr>
              <w:t>5.1</w:t>
            </w:r>
            <w:r>
              <w:rPr>
                <w:rFonts w:ascii="宋体" w:hAnsi="宋体" w:cs="宋体"/>
                <w:kern w:val="0"/>
                <w:szCs w:val="21"/>
                <w:lang w:bidi="ar"/>
              </w:rPr>
              <w:t>4</w:t>
            </w:r>
            <w:r>
              <w:rPr>
                <w:rFonts w:hint="eastAsia" w:ascii="宋体" w:hAnsi="宋体" w:cs="宋体"/>
                <w:kern w:val="0"/>
                <w:szCs w:val="21"/>
                <w:lang w:bidi="ar"/>
              </w:rPr>
              <w:t xml:space="preserve"> 背景校正：氘灯&gt;=40 倍（1Abs）</w:t>
            </w:r>
          </w:p>
          <w:p w14:paraId="25FC865D">
            <w:pPr>
              <w:widowControl/>
              <w:rPr>
                <w:rFonts w:ascii="宋体" w:hAnsi="宋体" w:cs="宋体"/>
                <w:kern w:val="0"/>
                <w:szCs w:val="21"/>
                <w:lang w:bidi="ar"/>
              </w:rPr>
            </w:pPr>
            <w:r>
              <w:rPr>
                <w:rFonts w:hint="eastAsia" w:ascii="宋体" w:hAnsi="宋体" w:cs="宋体"/>
                <w:kern w:val="0"/>
                <w:szCs w:val="21"/>
                <w:lang w:bidi="ar"/>
              </w:rPr>
              <w:t>5.1</w:t>
            </w:r>
            <w:r>
              <w:rPr>
                <w:rFonts w:ascii="宋体" w:hAnsi="宋体" w:cs="宋体"/>
                <w:kern w:val="0"/>
                <w:szCs w:val="21"/>
                <w:lang w:bidi="ar"/>
              </w:rPr>
              <w:t>5</w:t>
            </w:r>
            <w:r>
              <w:rPr>
                <w:rFonts w:hint="eastAsia" w:ascii="宋体" w:hAnsi="宋体" w:cs="宋体"/>
                <w:kern w:val="0"/>
                <w:szCs w:val="21"/>
                <w:lang w:bidi="ar"/>
              </w:rPr>
              <w:t xml:space="preserve"> 自吸&gt;=80 倍（1Abs）</w:t>
            </w:r>
          </w:p>
          <w:p w14:paraId="4017FA9A">
            <w:pPr>
              <w:widowControl/>
              <w:rPr>
                <w:rFonts w:ascii="宋体" w:hAnsi="宋体" w:cs="宋体"/>
                <w:kern w:val="0"/>
                <w:szCs w:val="21"/>
                <w:lang w:bidi="ar"/>
              </w:rPr>
            </w:pPr>
            <w:r>
              <w:rPr>
                <w:rFonts w:hint="eastAsia" w:ascii="宋体" w:hAnsi="宋体" w:cs="宋体"/>
                <w:kern w:val="0"/>
                <w:szCs w:val="21"/>
                <w:lang w:bidi="ar"/>
              </w:rPr>
              <w:t>5.1</w:t>
            </w:r>
            <w:r>
              <w:rPr>
                <w:rFonts w:ascii="宋体" w:hAnsi="宋体" w:cs="宋体"/>
                <w:kern w:val="0"/>
                <w:szCs w:val="21"/>
                <w:lang w:bidi="ar"/>
              </w:rPr>
              <w:t>6</w:t>
            </w:r>
            <w:r>
              <w:rPr>
                <w:rFonts w:hint="eastAsia" w:ascii="宋体" w:hAnsi="宋体" w:cs="宋体"/>
                <w:kern w:val="0"/>
                <w:szCs w:val="21"/>
                <w:lang w:bidi="ar"/>
              </w:rPr>
              <w:t xml:space="preserve"> 火焰分析特征浓度：（Cu）≤0.035ug/ml</w:t>
            </w:r>
          </w:p>
          <w:p w14:paraId="059AD86C">
            <w:pPr>
              <w:widowControl/>
              <w:rPr>
                <w:rFonts w:ascii="宋体" w:hAnsi="宋体" w:cs="宋体"/>
                <w:kern w:val="0"/>
                <w:szCs w:val="21"/>
                <w:lang w:bidi="ar"/>
              </w:rPr>
            </w:pPr>
            <w:r>
              <w:rPr>
                <w:rFonts w:hint="eastAsia" w:ascii="宋体" w:hAnsi="宋体" w:cs="宋体"/>
                <w:kern w:val="0"/>
                <w:szCs w:val="21"/>
                <w:lang w:bidi="ar"/>
              </w:rPr>
              <w:t>5.1</w:t>
            </w:r>
            <w:r>
              <w:rPr>
                <w:rFonts w:ascii="宋体" w:hAnsi="宋体" w:cs="宋体"/>
                <w:kern w:val="0"/>
                <w:szCs w:val="21"/>
                <w:lang w:bidi="ar"/>
              </w:rPr>
              <w:t>7</w:t>
            </w:r>
            <w:r>
              <w:rPr>
                <w:rFonts w:hint="eastAsia" w:ascii="宋体" w:hAnsi="宋体" w:cs="宋体"/>
                <w:kern w:val="0"/>
                <w:szCs w:val="21"/>
                <w:lang w:bidi="ar"/>
              </w:rPr>
              <w:t xml:space="preserve"> 检出限（Cu）：≤0.004ug/ml</w:t>
            </w:r>
          </w:p>
          <w:p w14:paraId="7216425A">
            <w:pPr>
              <w:widowControl/>
              <w:rPr>
                <w:rFonts w:ascii="宋体" w:hAnsi="宋体" w:cs="宋体"/>
                <w:kern w:val="0"/>
                <w:szCs w:val="21"/>
                <w:lang w:bidi="ar"/>
              </w:rPr>
            </w:pPr>
            <w:r>
              <w:rPr>
                <w:rFonts w:hint="eastAsia" w:ascii="宋体" w:hAnsi="宋体" w:cs="宋体"/>
                <w:kern w:val="0"/>
                <w:szCs w:val="21"/>
                <w:lang w:bidi="ar"/>
              </w:rPr>
              <w:t>5.1</w:t>
            </w:r>
            <w:r>
              <w:rPr>
                <w:rFonts w:ascii="宋体" w:hAnsi="宋体" w:cs="宋体"/>
                <w:kern w:val="0"/>
                <w:szCs w:val="21"/>
                <w:lang w:bidi="ar"/>
              </w:rPr>
              <w:t>8</w:t>
            </w:r>
            <w:r>
              <w:rPr>
                <w:rFonts w:hint="eastAsia" w:ascii="宋体" w:hAnsi="宋体" w:cs="宋体"/>
                <w:kern w:val="0"/>
                <w:szCs w:val="21"/>
                <w:lang w:bidi="ar"/>
              </w:rPr>
              <w:t xml:space="preserve"> 重复性：RSD≤0.5%</w:t>
            </w:r>
          </w:p>
          <w:p w14:paraId="1F4F89C6">
            <w:pPr>
              <w:widowControl/>
              <w:rPr>
                <w:rFonts w:ascii="宋体" w:hAnsi="宋体" w:cs="宋体"/>
                <w:kern w:val="0"/>
                <w:szCs w:val="21"/>
                <w:lang w:bidi="ar"/>
              </w:rPr>
            </w:pPr>
            <w:r>
              <w:rPr>
                <w:rFonts w:hint="eastAsia" w:ascii="宋体" w:hAnsi="宋体" w:cs="宋体"/>
                <w:kern w:val="0"/>
                <w:szCs w:val="21"/>
                <w:lang w:bidi="ar"/>
              </w:rPr>
              <w:t>5.</w:t>
            </w:r>
            <w:r>
              <w:rPr>
                <w:rFonts w:ascii="宋体" w:hAnsi="宋体" w:cs="宋体"/>
                <w:kern w:val="0"/>
                <w:szCs w:val="21"/>
                <w:lang w:bidi="ar"/>
              </w:rPr>
              <w:t>19</w:t>
            </w:r>
            <w:r>
              <w:rPr>
                <w:rFonts w:hint="eastAsia" w:ascii="宋体" w:hAnsi="宋体" w:cs="宋体"/>
                <w:kern w:val="0"/>
                <w:szCs w:val="21"/>
                <w:lang w:bidi="ar"/>
              </w:rPr>
              <w:t xml:space="preserve"> 乙炔流量调节：自动 12 档</w:t>
            </w:r>
          </w:p>
          <w:p w14:paraId="75758846">
            <w:pPr>
              <w:widowControl/>
              <w:rPr>
                <w:rFonts w:ascii="宋体" w:hAnsi="宋体" w:cs="宋体"/>
                <w:kern w:val="0"/>
                <w:szCs w:val="21"/>
                <w:lang w:bidi="ar"/>
              </w:rPr>
            </w:pPr>
            <w:r>
              <w:rPr>
                <w:rFonts w:hint="eastAsia" w:ascii="宋体" w:hAnsi="宋体" w:cs="宋体"/>
                <w:kern w:val="0"/>
                <w:szCs w:val="21"/>
                <w:lang w:bidi="ar"/>
              </w:rPr>
              <w:t>5.2</w:t>
            </w:r>
            <w:r>
              <w:rPr>
                <w:rFonts w:ascii="宋体" w:hAnsi="宋体" w:cs="宋体"/>
                <w:kern w:val="0"/>
                <w:szCs w:val="21"/>
                <w:lang w:bidi="ar"/>
              </w:rPr>
              <w:t>0</w:t>
            </w:r>
            <w:r>
              <w:rPr>
                <w:rFonts w:hint="eastAsia" w:ascii="宋体" w:hAnsi="宋体" w:cs="宋体"/>
                <w:kern w:val="0"/>
                <w:szCs w:val="21"/>
                <w:lang w:bidi="ar"/>
              </w:rPr>
              <w:t xml:space="preserve"> 空气辅助气调节：自动 4 档</w:t>
            </w:r>
          </w:p>
          <w:p w14:paraId="2D784018">
            <w:pPr>
              <w:widowControl/>
              <w:rPr>
                <w:rFonts w:ascii="宋体" w:hAnsi="宋体" w:cs="宋体"/>
                <w:kern w:val="0"/>
                <w:szCs w:val="21"/>
                <w:lang w:bidi="ar"/>
              </w:rPr>
            </w:pPr>
            <w:r>
              <w:rPr>
                <w:rFonts w:hint="eastAsia" w:ascii="宋体" w:hAnsi="宋体" w:cs="宋体"/>
                <w:kern w:val="0"/>
                <w:szCs w:val="21"/>
                <w:lang w:bidi="ar"/>
              </w:rPr>
              <w:t>5.2</w:t>
            </w:r>
            <w:r>
              <w:rPr>
                <w:rFonts w:ascii="宋体" w:hAnsi="宋体" w:cs="宋体"/>
                <w:kern w:val="0"/>
                <w:szCs w:val="21"/>
                <w:lang w:bidi="ar"/>
              </w:rPr>
              <w:t>1</w:t>
            </w:r>
            <w:r>
              <w:rPr>
                <w:rFonts w:hint="eastAsia" w:ascii="宋体" w:hAnsi="宋体" w:cs="宋体"/>
                <w:kern w:val="0"/>
                <w:szCs w:val="21"/>
                <w:lang w:bidi="ar"/>
              </w:rPr>
              <w:t xml:space="preserve"> 燃烧器升降：自动升降</w:t>
            </w:r>
          </w:p>
          <w:p w14:paraId="6E8BF4AD">
            <w:pPr>
              <w:widowControl/>
              <w:rPr>
                <w:rFonts w:ascii="宋体" w:hAnsi="宋体" w:cs="宋体"/>
                <w:kern w:val="0"/>
                <w:szCs w:val="21"/>
                <w:lang w:bidi="ar"/>
              </w:rPr>
            </w:pPr>
            <w:r>
              <w:rPr>
                <w:rFonts w:hint="eastAsia" w:ascii="宋体" w:hAnsi="宋体" w:cs="宋体"/>
                <w:kern w:val="0"/>
                <w:szCs w:val="21"/>
                <w:lang w:bidi="ar"/>
              </w:rPr>
              <w:t>5.2</w:t>
            </w:r>
            <w:r>
              <w:rPr>
                <w:rFonts w:ascii="宋体" w:hAnsi="宋体" w:cs="宋体"/>
                <w:kern w:val="0"/>
                <w:szCs w:val="21"/>
                <w:lang w:bidi="ar"/>
              </w:rPr>
              <w:t>2</w:t>
            </w:r>
            <w:r>
              <w:rPr>
                <w:rFonts w:hint="eastAsia" w:ascii="宋体" w:hAnsi="宋体" w:cs="宋体"/>
                <w:kern w:val="0"/>
                <w:szCs w:val="21"/>
                <w:lang w:bidi="ar"/>
              </w:rPr>
              <w:t xml:space="preserve"> 燃烧器：金属钛燃烧器</w:t>
            </w:r>
          </w:p>
          <w:p w14:paraId="176DE6A2">
            <w:pPr>
              <w:widowControl/>
              <w:rPr>
                <w:rFonts w:ascii="宋体" w:hAnsi="宋体" w:cs="宋体"/>
                <w:kern w:val="0"/>
                <w:szCs w:val="21"/>
                <w:lang w:bidi="ar"/>
              </w:rPr>
            </w:pPr>
            <w:r>
              <w:rPr>
                <w:rFonts w:hint="eastAsia" w:ascii="宋体" w:hAnsi="宋体" w:cs="宋体"/>
                <w:kern w:val="0"/>
                <w:szCs w:val="21"/>
                <w:lang w:bidi="ar"/>
              </w:rPr>
              <w:t>5.2</w:t>
            </w:r>
            <w:r>
              <w:rPr>
                <w:rFonts w:ascii="宋体" w:hAnsi="宋体" w:cs="宋体"/>
                <w:kern w:val="0"/>
                <w:szCs w:val="21"/>
                <w:lang w:bidi="ar"/>
              </w:rPr>
              <w:t>3</w:t>
            </w:r>
            <w:r>
              <w:rPr>
                <w:rFonts w:hint="eastAsia" w:ascii="宋体" w:hAnsi="宋体" w:cs="宋体"/>
                <w:kern w:val="0"/>
                <w:szCs w:val="21"/>
                <w:lang w:bidi="ar"/>
              </w:rPr>
              <w:t xml:space="preserve"> 喷雾器：高效玻璃雾化器</w:t>
            </w:r>
          </w:p>
          <w:p w14:paraId="492A5B68">
            <w:pPr>
              <w:widowControl/>
              <w:rPr>
                <w:rFonts w:ascii="宋体" w:hAnsi="宋体" w:cs="宋体"/>
                <w:kern w:val="0"/>
                <w:szCs w:val="21"/>
                <w:lang w:bidi="ar"/>
              </w:rPr>
            </w:pPr>
            <w:r>
              <w:rPr>
                <w:rFonts w:hint="eastAsia" w:ascii="宋体" w:hAnsi="宋体" w:cs="宋体"/>
                <w:kern w:val="0"/>
                <w:szCs w:val="21"/>
                <w:lang w:bidi="ar"/>
              </w:rPr>
              <w:t>5.2</w:t>
            </w:r>
            <w:r>
              <w:rPr>
                <w:rFonts w:ascii="宋体" w:hAnsi="宋体" w:cs="宋体"/>
                <w:kern w:val="0"/>
                <w:szCs w:val="21"/>
                <w:lang w:bidi="ar"/>
              </w:rPr>
              <w:t>4</w:t>
            </w:r>
            <w:r>
              <w:rPr>
                <w:rFonts w:hint="eastAsia" w:ascii="宋体" w:hAnsi="宋体" w:cs="宋体"/>
                <w:kern w:val="0"/>
                <w:szCs w:val="21"/>
                <w:lang w:bidi="ar"/>
              </w:rPr>
              <w:t xml:space="preserve"> 雾化室：耐腐蚀材料雾化室</w:t>
            </w:r>
          </w:p>
          <w:p w14:paraId="73A6421F">
            <w:pPr>
              <w:widowControl/>
              <w:rPr>
                <w:rFonts w:ascii="宋体" w:hAnsi="宋体" w:cs="宋体"/>
                <w:kern w:val="0"/>
                <w:szCs w:val="21"/>
                <w:lang w:bidi="ar"/>
              </w:rPr>
            </w:pPr>
            <w:r>
              <w:rPr>
                <w:rFonts w:hint="eastAsia" w:ascii="宋体" w:hAnsi="宋体" w:cs="宋体"/>
                <w:kern w:val="0"/>
                <w:szCs w:val="21"/>
                <w:lang w:bidi="ar"/>
              </w:rPr>
              <w:t>5.2</w:t>
            </w:r>
            <w:r>
              <w:rPr>
                <w:rFonts w:ascii="宋体" w:hAnsi="宋体" w:cs="宋体"/>
                <w:kern w:val="0"/>
                <w:szCs w:val="21"/>
                <w:lang w:bidi="ar"/>
              </w:rPr>
              <w:t>5</w:t>
            </w:r>
            <w:r>
              <w:rPr>
                <w:rFonts w:hint="eastAsia" w:ascii="宋体" w:hAnsi="宋体" w:cs="宋体"/>
                <w:kern w:val="0"/>
                <w:szCs w:val="21"/>
                <w:lang w:bidi="ar"/>
              </w:rPr>
              <w:t xml:space="preserve"> 安全措施：火焰燃气、助燃气异常压力保护</w:t>
            </w:r>
          </w:p>
          <w:p w14:paraId="4D949682">
            <w:pPr>
              <w:widowControl/>
              <w:rPr>
                <w:rFonts w:ascii="宋体" w:hAnsi="宋体" w:cs="宋体"/>
                <w:kern w:val="0"/>
                <w:szCs w:val="21"/>
                <w:lang w:bidi="ar"/>
              </w:rPr>
            </w:pPr>
            <w:r>
              <w:rPr>
                <w:rFonts w:hint="eastAsia" w:ascii="宋体" w:hAnsi="宋体" w:cs="宋体"/>
                <w:kern w:val="0"/>
                <w:szCs w:val="21"/>
                <w:lang w:bidi="ar"/>
              </w:rPr>
              <w:t>5.2</w:t>
            </w:r>
            <w:r>
              <w:rPr>
                <w:rFonts w:ascii="宋体" w:hAnsi="宋体" w:cs="宋体"/>
                <w:kern w:val="0"/>
                <w:szCs w:val="21"/>
                <w:lang w:bidi="ar"/>
              </w:rPr>
              <w:t>6</w:t>
            </w:r>
            <w:r>
              <w:rPr>
                <w:rFonts w:hint="eastAsia" w:ascii="宋体" w:hAnsi="宋体" w:cs="宋体"/>
                <w:kern w:val="0"/>
                <w:szCs w:val="21"/>
                <w:lang w:bidi="ar"/>
              </w:rPr>
              <w:t xml:space="preserve"> 石墨炉分析特征量：Cd特征量≤0.8pg；Cu 特征量≤20pg</w:t>
            </w:r>
          </w:p>
          <w:p w14:paraId="43B8FFE0">
            <w:pPr>
              <w:widowControl/>
              <w:rPr>
                <w:rFonts w:ascii="宋体" w:hAnsi="宋体" w:cs="宋体"/>
                <w:kern w:val="0"/>
                <w:szCs w:val="21"/>
                <w:lang w:bidi="ar"/>
              </w:rPr>
            </w:pPr>
            <w:r>
              <w:rPr>
                <w:rFonts w:hint="eastAsia" w:ascii="宋体" w:hAnsi="宋体" w:cs="宋体"/>
                <w:kern w:val="0"/>
                <w:szCs w:val="21"/>
                <w:lang w:bidi="ar"/>
              </w:rPr>
              <w:t>5.2</w:t>
            </w:r>
            <w:r>
              <w:rPr>
                <w:rFonts w:ascii="宋体" w:hAnsi="宋体" w:cs="宋体"/>
                <w:kern w:val="0"/>
                <w:szCs w:val="21"/>
                <w:lang w:bidi="ar"/>
              </w:rPr>
              <w:t>7</w:t>
            </w:r>
            <w:r>
              <w:rPr>
                <w:rFonts w:hint="eastAsia" w:ascii="宋体" w:hAnsi="宋体" w:cs="宋体"/>
                <w:kern w:val="0"/>
                <w:szCs w:val="21"/>
                <w:lang w:bidi="ar"/>
              </w:rPr>
              <w:t xml:space="preserve"> 检出限：对Cd 的检出极限≤0.8pg</w:t>
            </w:r>
          </w:p>
          <w:p w14:paraId="2B9C51C9">
            <w:pPr>
              <w:widowControl/>
              <w:rPr>
                <w:rFonts w:ascii="宋体" w:hAnsi="宋体" w:cs="宋体"/>
                <w:kern w:val="0"/>
                <w:szCs w:val="21"/>
                <w:lang w:bidi="ar"/>
              </w:rPr>
            </w:pPr>
            <w:r>
              <w:rPr>
                <w:rFonts w:hint="eastAsia" w:ascii="宋体" w:hAnsi="宋体" w:cs="宋体"/>
                <w:kern w:val="0"/>
                <w:szCs w:val="21"/>
                <w:lang w:bidi="ar"/>
              </w:rPr>
              <w:t>5.2</w:t>
            </w:r>
            <w:r>
              <w:rPr>
                <w:rFonts w:ascii="宋体" w:hAnsi="宋体" w:cs="宋体"/>
                <w:kern w:val="0"/>
                <w:szCs w:val="21"/>
                <w:lang w:bidi="ar"/>
              </w:rPr>
              <w:t>8</w:t>
            </w:r>
            <w:r>
              <w:rPr>
                <w:rFonts w:hint="eastAsia" w:ascii="宋体" w:hAnsi="宋体" w:cs="宋体"/>
                <w:kern w:val="0"/>
                <w:szCs w:val="21"/>
                <w:lang w:bidi="ar"/>
              </w:rPr>
              <w:t xml:space="preserve"> 对 Cu 的检出极限≤5pg</w:t>
            </w:r>
          </w:p>
          <w:p w14:paraId="6336C3D5">
            <w:pPr>
              <w:widowControl/>
              <w:rPr>
                <w:rFonts w:ascii="宋体" w:hAnsi="宋体" w:cs="宋体"/>
                <w:kern w:val="0"/>
                <w:szCs w:val="21"/>
                <w:lang w:bidi="ar"/>
              </w:rPr>
            </w:pPr>
            <w:r>
              <w:rPr>
                <w:rFonts w:hint="eastAsia" w:ascii="宋体" w:hAnsi="宋体" w:cs="宋体"/>
                <w:kern w:val="0"/>
                <w:szCs w:val="21"/>
                <w:lang w:bidi="ar"/>
              </w:rPr>
              <w:t>5.</w:t>
            </w:r>
            <w:r>
              <w:rPr>
                <w:rFonts w:ascii="宋体" w:hAnsi="宋体" w:cs="宋体"/>
                <w:kern w:val="0"/>
                <w:szCs w:val="21"/>
                <w:lang w:bidi="ar"/>
              </w:rPr>
              <w:t>29</w:t>
            </w:r>
            <w:r>
              <w:rPr>
                <w:rFonts w:hint="eastAsia" w:ascii="宋体" w:hAnsi="宋体" w:cs="宋体"/>
                <w:kern w:val="0"/>
                <w:szCs w:val="21"/>
                <w:lang w:bidi="ar"/>
              </w:rPr>
              <w:t xml:space="preserve"> 重复性（Cd）：RSD≤2.5%</w:t>
            </w:r>
          </w:p>
          <w:p w14:paraId="53184AFE">
            <w:pPr>
              <w:widowControl/>
              <w:rPr>
                <w:rFonts w:ascii="宋体" w:hAnsi="宋体" w:cs="宋体"/>
                <w:kern w:val="0"/>
                <w:szCs w:val="21"/>
                <w:lang w:bidi="ar"/>
              </w:rPr>
            </w:pPr>
            <w:r>
              <w:rPr>
                <w:rFonts w:hint="eastAsia" w:ascii="宋体" w:hAnsi="宋体" w:cs="宋体"/>
                <w:kern w:val="0"/>
                <w:szCs w:val="21"/>
                <w:lang w:bidi="ar"/>
              </w:rPr>
              <w:t>5.3</w:t>
            </w:r>
            <w:r>
              <w:rPr>
                <w:rFonts w:ascii="宋体" w:hAnsi="宋体" w:cs="宋体"/>
                <w:kern w:val="0"/>
                <w:szCs w:val="21"/>
                <w:lang w:bidi="ar"/>
              </w:rPr>
              <w:t>0</w:t>
            </w:r>
            <w:r>
              <w:rPr>
                <w:rFonts w:hint="eastAsia" w:ascii="宋体" w:hAnsi="宋体" w:cs="宋体"/>
                <w:kern w:val="0"/>
                <w:szCs w:val="21"/>
                <w:lang w:bidi="ar"/>
              </w:rPr>
              <w:t xml:space="preserve"> 石墨炉升温范围：室温～3000℃</w:t>
            </w:r>
          </w:p>
          <w:p w14:paraId="385056D5">
            <w:pPr>
              <w:widowControl/>
              <w:rPr>
                <w:rFonts w:ascii="宋体" w:hAnsi="宋体" w:cs="宋体"/>
                <w:kern w:val="0"/>
                <w:szCs w:val="21"/>
                <w:lang w:bidi="ar"/>
              </w:rPr>
            </w:pPr>
            <w:r>
              <w:rPr>
                <w:rFonts w:hint="eastAsia" w:ascii="宋体" w:hAnsi="宋体" w:cs="宋体"/>
                <w:kern w:val="0"/>
                <w:szCs w:val="21"/>
                <w:lang w:bidi="ar"/>
              </w:rPr>
              <w:t>5.3</w:t>
            </w:r>
            <w:r>
              <w:rPr>
                <w:rFonts w:ascii="宋体" w:hAnsi="宋体" w:cs="宋体"/>
                <w:kern w:val="0"/>
                <w:szCs w:val="21"/>
                <w:lang w:bidi="ar"/>
              </w:rPr>
              <w:t>1</w:t>
            </w:r>
            <w:r>
              <w:rPr>
                <w:rFonts w:hint="eastAsia" w:ascii="宋体" w:hAnsi="宋体" w:cs="宋体"/>
                <w:kern w:val="0"/>
                <w:szCs w:val="21"/>
                <w:lang w:bidi="ar"/>
              </w:rPr>
              <w:t xml:space="preserve"> 大功率升温范围：1500℃～3000℃</w:t>
            </w:r>
          </w:p>
          <w:p w14:paraId="4F52E395">
            <w:pPr>
              <w:widowControl/>
              <w:rPr>
                <w:rFonts w:ascii="宋体" w:hAnsi="宋体" w:cs="宋体"/>
                <w:kern w:val="0"/>
                <w:szCs w:val="21"/>
                <w:lang w:bidi="ar"/>
              </w:rPr>
            </w:pPr>
            <w:r>
              <w:rPr>
                <w:rFonts w:hint="eastAsia" w:ascii="宋体" w:hAnsi="宋体" w:cs="宋体"/>
                <w:kern w:val="0"/>
                <w:szCs w:val="21"/>
                <w:lang w:bidi="ar"/>
              </w:rPr>
              <w:t>5.3</w:t>
            </w:r>
            <w:r>
              <w:rPr>
                <w:rFonts w:ascii="宋体" w:hAnsi="宋体" w:cs="宋体"/>
                <w:kern w:val="0"/>
                <w:szCs w:val="21"/>
                <w:lang w:bidi="ar"/>
              </w:rPr>
              <w:t>2</w:t>
            </w:r>
            <w:r>
              <w:rPr>
                <w:rFonts w:hint="eastAsia" w:ascii="宋体" w:hAnsi="宋体" w:cs="宋体"/>
                <w:kern w:val="0"/>
                <w:szCs w:val="21"/>
                <w:lang w:bidi="ar"/>
              </w:rPr>
              <w:t xml:space="preserve"> 斜坡与保持时间：1s～255s</w:t>
            </w:r>
          </w:p>
          <w:p w14:paraId="58BA944C">
            <w:pPr>
              <w:widowControl/>
              <w:rPr>
                <w:rFonts w:ascii="宋体" w:hAnsi="宋体" w:cs="宋体"/>
                <w:kern w:val="0"/>
                <w:szCs w:val="21"/>
                <w:lang w:bidi="ar"/>
              </w:rPr>
            </w:pPr>
            <w:r>
              <w:rPr>
                <w:rFonts w:hint="eastAsia" w:ascii="宋体" w:hAnsi="宋体" w:cs="宋体"/>
                <w:kern w:val="0"/>
                <w:szCs w:val="21"/>
                <w:lang w:bidi="ar"/>
              </w:rPr>
              <w:t>5.3</w:t>
            </w:r>
            <w:r>
              <w:rPr>
                <w:rFonts w:ascii="宋体" w:hAnsi="宋体" w:cs="宋体"/>
                <w:kern w:val="0"/>
                <w:szCs w:val="21"/>
                <w:lang w:bidi="ar"/>
              </w:rPr>
              <w:t>3</w:t>
            </w:r>
            <w:r>
              <w:rPr>
                <w:rFonts w:hint="eastAsia" w:ascii="宋体" w:hAnsi="宋体" w:cs="宋体"/>
                <w:kern w:val="0"/>
                <w:szCs w:val="21"/>
                <w:lang w:bidi="ar"/>
              </w:rPr>
              <w:t xml:space="preserve"> 升温速率：最大升温速率 2000℃/秒</w:t>
            </w:r>
          </w:p>
          <w:p w14:paraId="0711821F">
            <w:pPr>
              <w:widowControl/>
              <w:rPr>
                <w:rFonts w:ascii="宋体" w:hAnsi="宋体" w:cs="宋体"/>
                <w:kern w:val="0"/>
                <w:szCs w:val="21"/>
                <w:lang w:bidi="ar"/>
              </w:rPr>
            </w:pPr>
            <w:r>
              <w:rPr>
                <w:rFonts w:hint="eastAsia" w:ascii="宋体" w:hAnsi="宋体" w:cs="宋体"/>
                <w:kern w:val="0"/>
                <w:szCs w:val="21"/>
                <w:lang w:bidi="ar"/>
              </w:rPr>
              <w:t>5.3</w:t>
            </w:r>
            <w:r>
              <w:rPr>
                <w:rFonts w:ascii="宋体" w:hAnsi="宋体" w:cs="宋体"/>
                <w:kern w:val="0"/>
                <w:szCs w:val="21"/>
                <w:lang w:bidi="ar"/>
              </w:rPr>
              <w:t>4</w:t>
            </w:r>
            <w:r>
              <w:rPr>
                <w:rFonts w:hint="eastAsia" w:ascii="宋体" w:hAnsi="宋体" w:cs="宋体"/>
                <w:kern w:val="0"/>
                <w:szCs w:val="21"/>
                <w:lang w:bidi="ar"/>
              </w:rPr>
              <w:t xml:space="preserve"> 原子化升温方式：光控升温，时控升温，一般升温</w:t>
            </w:r>
          </w:p>
          <w:p w14:paraId="6306C7B8">
            <w:pPr>
              <w:widowControl/>
              <w:rPr>
                <w:rFonts w:ascii="宋体" w:hAnsi="宋体" w:cs="宋体"/>
                <w:kern w:val="0"/>
                <w:szCs w:val="21"/>
                <w:lang w:bidi="ar"/>
              </w:rPr>
            </w:pPr>
            <w:r>
              <w:rPr>
                <w:rFonts w:hint="eastAsia" w:ascii="宋体" w:hAnsi="宋体" w:cs="宋体"/>
                <w:kern w:val="0"/>
                <w:szCs w:val="21"/>
                <w:lang w:bidi="ar"/>
              </w:rPr>
              <w:t>5.3</w:t>
            </w:r>
            <w:r>
              <w:rPr>
                <w:rFonts w:ascii="宋体" w:hAnsi="宋体" w:cs="宋体"/>
                <w:kern w:val="0"/>
                <w:szCs w:val="21"/>
                <w:lang w:bidi="ar"/>
              </w:rPr>
              <w:t>5</w:t>
            </w:r>
            <w:r>
              <w:rPr>
                <w:rFonts w:hint="eastAsia" w:ascii="宋体" w:hAnsi="宋体" w:cs="宋体"/>
                <w:kern w:val="0"/>
                <w:szCs w:val="21"/>
                <w:lang w:bidi="ar"/>
              </w:rPr>
              <w:t xml:space="preserve"> 管外保护气流量： 1 L/min</w:t>
            </w:r>
          </w:p>
          <w:p w14:paraId="588FD3B3">
            <w:pPr>
              <w:widowControl/>
              <w:rPr>
                <w:rFonts w:ascii="宋体" w:hAnsi="宋体" w:cs="宋体"/>
                <w:kern w:val="0"/>
                <w:szCs w:val="21"/>
                <w:lang w:bidi="ar"/>
              </w:rPr>
            </w:pPr>
            <w:r>
              <w:rPr>
                <w:rFonts w:hint="eastAsia" w:ascii="宋体" w:hAnsi="宋体" w:cs="宋体"/>
                <w:kern w:val="0"/>
                <w:szCs w:val="21"/>
                <w:lang w:bidi="ar"/>
              </w:rPr>
              <w:t>5.3</w:t>
            </w:r>
            <w:r>
              <w:rPr>
                <w:rFonts w:ascii="宋体" w:hAnsi="宋体" w:cs="宋体"/>
                <w:kern w:val="0"/>
                <w:szCs w:val="21"/>
                <w:lang w:bidi="ar"/>
              </w:rPr>
              <w:t>6</w:t>
            </w:r>
            <w:r>
              <w:rPr>
                <w:rFonts w:hint="eastAsia" w:ascii="宋体" w:hAnsi="宋体" w:cs="宋体"/>
                <w:kern w:val="0"/>
                <w:szCs w:val="21"/>
                <w:lang w:bidi="ar"/>
              </w:rPr>
              <w:t xml:space="preserve"> 管内保护气流量： 4 档可调（0、50、200、250ml/min 流量）</w:t>
            </w:r>
          </w:p>
          <w:p w14:paraId="2BE13D30">
            <w:pPr>
              <w:widowControl/>
              <w:rPr>
                <w:rFonts w:ascii="宋体" w:hAnsi="宋体" w:cs="宋体"/>
                <w:kern w:val="0"/>
                <w:szCs w:val="21"/>
                <w:lang w:bidi="ar"/>
              </w:rPr>
            </w:pPr>
            <w:r>
              <w:rPr>
                <w:rFonts w:hint="eastAsia" w:ascii="宋体" w:hAnsi="宋体" w:cs="宋体"/>
                <w:kern w:val="0"/>
                <w:szCs w:val="21"/>
                <w:lang w:bidi="ar"/>
              </w:rPr>
              <w:t>5.3</w:t>
            </w:r>
            <w:r>
              <w:rPr>
                <w:rFonts w:ascii="宋体" w:hAnsi="宋体" w:cs="宋体"/>
                <w:kern w:val="0"/>
                <w:szCs w:val="21"/>
                <w:lang w:bidi="ar"/>
              </w:rPr>
              <w:t>7</w:t>
            </w:r>
            <w:r>
              <w:rPr>
                <w:rFonts w:hint="eastAsia" w:ascii="宋体" w:hAnsi="宋体" w:cs="宋体"/>
                <w:kern w:val="0"/>
                <w:szCs w:val="21"/>
                <w:lang w:bidi="ar"/>
              </w:rPr>
              <w:t xml:space="preserve"> 安全措施：冷却水流量、保护气压力、炉体温度、电源温度、石墨管安装报警</w:t>
            </w:r>
          </w:p>
          <w:p w14:paraId="3FC34866">
            <w:pPr>
              <w:widowControl/>
              <w:rPr>
                <w:rFonts w:ascii="宋体" w:hAnsi="宋体" w:cs="宋体"/>
                <w:kern w:val="0"/>
                <w:szCs w:val="21"/>
                <w:lang w:bidi="ar"/>
              </w:rPr>
            </w:pPr>
            <w:r>
              <w:rPr>
                <w:rFonts w:hint="eastAsia" w:ascii="宋体" w:hAnsi="宋体" w:cs="宋体"/>
                <w:kern w:val="0"/>
                <w:szCs w:val="21"/>
                <w:lang w:bidi="ar"/>
              </w:rPr>
              <w:t>5.3</w:t>
            </w:r>
            <w:r>
              <w:rPr>
                <w:rFonts w:ascii="宋体" w:hAnsi="宋体" w:cs="宋体"/>
                <w:kern w:val="0"/>
                <w:szCs w:val="21"/>
                <w:lang w:bidi="ar"/>
              </w:rPr>
              <w:t>8</w:t>
            </w:r>
            <w:r>
              <w:rPr>
                <w:rFonts w:hint="eastAsia" w:ascii="宋体" w:hAnsi="宋体" w:cs="宋体"/>
                <w:kern w:val="0"/>
                <w:szCs w:val="21"/>
                <w:lang w:bidi="ar"/>
              </w:rPr>
              <w:t xml:space="preserve"> 数据处理：测量方式 火焰法，石墨炉法，氢化物发生-原子吸收法，火焰发射法</w:t>
            </w:r>
          </w:p>
          <w:p w14:paraId="37F02EFB">
            <w:pPr>
              <w:widowControl/>
              <w:rPr>
                <w:rFonts w:ascii="宋体" w:hAnsi="宋体" w:cs="宋体"/>
                <w:kern w:val="0"/>
                <w:szCs w:val="21"/>
                <w:lang w:bidi="ar"/>
              </w:rPr>
            </w:pPr>
            <w:r>
              <w:rPr>
                <w:rFonts w:hint="eastAsia" w:ascii="宋体" w:hAnsi="宋体" w:cs="宋体"/>
                <w:kern w:val="0"/>
                <w:szCs w:val="21"/>
                <w:lang w:bidi="ar"/>
              </w:rPr>
              <w:t>5.</w:t>
            </w:r>
            <w:r>
              <w:rPr>
                <w:rFonts w:ascii="宋体" w:hAnsi="宋体" w:cs="宋体"/>
                <w:kern w:val="0"/>
                <w:szCs w:val="21"/>
                <w:lang w:bidi="ar"/>
              </w:rPr>
              <w:t>39</w:t>
            </w:r>
            <w:r>
              <w:rPr>
                <w:rFonts w:hint="eastAsia" w:ascii="宋体" w:hAnsi="宋体" w:cs="宋体"/>
                <w:kern w:val="0"/>
                <w:szCs w:val="21"/>
                <w:lang w:bidi="ar"/>
              </w:rPr>
              <w:t xml:space="preserve"> 浓度计算方式：标准曲线法（6 种线性、非线性拟合方法），标准加入法，内插法</w:t>
            </w:r>
          </w:p>
          <w:p w14:paraId="3B334A9E">
            <w:pPr>
              <w:widowControl/>
              <w:rPr>
                <w:rFonts w:ascii="宋体" w:hAnsi="宋体" w:cs="宋体"/>
                <w:kern w:val="0"/>
                <w:szCs w:val="21"/>
                <w:lang w:bidi="ar"/>
              </w:rPr>
            </w:pPr>
            <w:r>
              <w:rPr>
                <w:rFonts w:hint="eastAsia" w:ascii="宋体" w:hAnsi="宋体" w:cs="宋体"/>
                <w:kern w:val="0"/>
                <w:szCs w:val="21"/>
                <w:lang w:bidi="ar"/>
              </w:rPr>
              <w:t>5.4</w:t>
            </w:r>
            <w:r>
              <w:rPr>
                <w:rFonts w:ascii="宋体" w:hAnsi="宋体" w:cs="宋体"/>
                <w:kern w:val="0"/>
                <w:szCs w:val="21"/>
                <w:lang w:bidi="ar"/>
              </w:rPr>
              <w:t>0</w:t>
            </w:r>
            <w:r>
              <w:rPr>
                <w:rFonts w:hint="eastAsia" w:ascii="宋体" w:hAnsi="宋体" w:cs="宋体"/>
                <w:kern w:val="0"/>
                <w:szCs w:val="21"/>
                <w:lang w:bidi="ar"/>
              </w:rPr>
              <w:t xml:space="preserve"> 重复测量次数：1-30 次，计算和给出吸光度和浓度的平均值、标准偏差和相对标准偏差</w:t>
            </w:r>
          </w:p>
          <w:p w14:paraId="7995D8F9">
            <w:pPr>
              <w:widowControl/>
              <w:rPr>
                <w:rFonts w:ascii="宋体" w:hAnsi="宋体" w:cs="宋体"/>
                <w:kern w:val="0"/>
                <w:szCs w:val="21"/>
                <w:lang w:bidi="ar"/>
              </w:rPr>
            </w:pPr>
            <w:r>
              <w:rPr>
                <w:rFonts w:hint="eastAsia" w:ascii="宋体" w:hAnsi="宋体" w:cs="宋体"/>
                <w:kern w:val="0"/>
                <w:szCs w:val="21"/>
                <w:lang w:bidi="ar"/>
              </w:rPr>
              <w:t>5.4</w:t>
            </w:r>
            <w:r>
              <w:rPr>
                <w:rFonts w:ascii="宋体" w:hAnsi="宋体" w:cs="宋体"/>
                <w:kern w:val="0"/>
                <w:szCs w:val="21"/>
                <w:lang w:bidi="ar"/>
              </w:rPr>
              <w:t>1</w:t>
            </w:r>
            <w:r>
              <w:rPr>
                <w:rFonts w:hint="eastAsia" w:ascii="宋体" w:hAnsi="宋体" w:cs="宋体"/>
                <w:kern w:val="0"/>
                <w:szCs w:val="21"/>
                <w:lang w:bidi="ar"/>
              </w:rPr>
              <w:t xml:space="preserve"> 报表打印：参数打印，数据结果打印</w:t>
            </w:r>
          </w:p>
          <w:p w14:paraId="435FA6A8">
            <w:pPr>
              <w:widowControl/>
              <w:rPr>
                <w:rFonts w:ascii="宋体" w:hAnsi="宋体" w:cs="宋体"/>
                <w:kern w:val="0"/>
                <w:szCs w:val="21"/>
                <w:lang w:bidi="ar"/>
              </w:rPr>
            </w:pPr>
            <w:r>
              <w:rPr>
                <w:rFonts w:hint="eastAsia" w:ascii="宋体" w:hAnsi="宋体" w:cs="宋体"/>
                <w:kern w:val="0"/>
                <w:szCs w:val="21"/>
                <w:lang w:bidi="ar"/>
              </w:rPr>
              <w:t>5.4</w:t>
            </w:r>
            <w:r>
              <w:rPr>
                <w:rFonts w:ascii="宋体" w:hAnsi="宋体" w:cs="宋体"/>
                <w:kern w:val="0"/>
                <w:szCs w:val="21"/>
                <w:lang w:bidi="ar"/>
              </w:rPr>
              <w:t>2</w:t>
            </w:r>
            <w:r>
              <w:rPr>
                <w:rFonts w:hint="eastAsia" w:ascii="宋体" w:hAnsi="宋体" w:cs="宋体"/>
                <w:kern w:val="0"/>
                <w:szCs w:val="21"/>
                <w:lang w:bidi="ar"/>
              </w:rPr>
              <w:t xml:space="preserve"> 其它：计算机 外接</w:t>
            </w:r>
          </w:p>
          <w:p w14:paraId="260A9DFD">
            <w:pPr>
              <w:widowControl/>
              <w:rPr>
                <w:rFonts w:ascii="宋体" w:hAnsi="宋体" w:cs="宋体"/>
                <w:kern w:val="0"/>
                <w:szCs w:val="21"/>
                <w:lang w:bidi="ar"/>
              </w:rPr>
            </w:pPr>
            <w:r>
              <w:rPr>
                <w:rFonts w:hint="eastAsia" w:ascii="宋体" w:hAnsi="宋体" w:cs="宋体"/>
                <w:kern w:val="0"/>
                <w:szCs w:val="21"/>
                <w:lang w:bidi="ar"/>
              </w:rPr>
              <w:t>5.4</w:t>
            </w:r>
            <w:r>
              <w:rPr>
                <w:rFonts w:ascii="宋体" w:hAnsi="宋体" w:cs="宋体"/>
                <w:kern w:val="0"/>
                <w:szCs w:val="21"/>
                <w:lang w:bidi="ar"/>
              </w:rPr>
              <w:t>3</w:t>
            </w:r>
            <w:r>
              <w:rPr>
                <w:rFonts w:hint="eastAsia" w:ascii="宋体" w:hAnsi="宋体" w:cs="宋体"/>
                <w:kern w:val="0"/>
                <w:szCs w:val="21"/>
                <w:lang w:bidi="ar"/>
              </w:rPr>
              <w:t xml:space="preserve"> 外形尺寸 （</w:t>
            </w:r>
            <w:r>
              <w:rPr>
                <w:rFonts w:hint="default" w:ascii="宋体" w:hAnsi="宋体" w:cs="宋体"/>
                <w:kern w:val="0"/>
                <w:szCs w:val="21"/>
                <w:lang w:bidi="ar"/>
              </w:rPr>
              <w:t>mm</w:t>
            </w:r>
            <w:r>
              <w:rPr>
                <w:rFonts w:hint="eastAsia" w:ascii="宋体" w:hAnsi="宋体" w:cs="宋体"/>
                <w:kern w:val="0"/>
                <w:szCs w:val="21"/>
                <w:lang w:bidi="ar"/>
              </w:rPr>
              <w:t>）：约830*650*560</w:t>
            </w:r>
          </w:p>
          <w:p w14:paraId="202F5FFA">
            <w:pPr>
              <w:widowControl/>
              <w:rPr>
                <w:rFonts w:ascii="宋体" w:hAnsi="宋体" w:cs="宋体"/>
                <w:kern w:val="0"/>
                <w:szCs w:val="21"/>
                <w:lang w:bidi="ar"/>
              </w:rPr>
            </w:pPr>
            <w:r>
              <w:rPr>
                <w:rFonts w:hint="eastAsia" w:ascii="宋体" w:hAnsi="宋体" w:cs="宋体"/>
                <w:kern w:val="0"/>
                <w:szCs w:val="21"/>
                <w:lang w:bidi="ar"/>
              </w:rPr>
              <w:t>5.4</w:t>
            </w:r>
            <w:r>
              <w:rPr>
                <w:rFonts w:ascii="宋体" w:hAnsi="宋体" w:cs="宋体"/>
                <w:kern w:val="0"/>
                <w:szCs w:val="21"/>
                <w:lang w:bidi="ar"/>
              </w:rPr>
              <w:t>4</w:t>
            </w:r>
            <w:r>
              <w:rPr>
                <w:rFonts w:hint="eastAsia" w:ascii="宋体" w:hAnsi="宋体" w:cs="宋体"/>
                <w:kern w:val="0"/>
                <w:szCs w:val="21"/>
                <w:lang w:bidi="ar"/>
              </w:rPr>
              <w:t xml:space="preserve"> 质量（重量）kg：约125Kg</w:t>
            </w:r>
          </w:p>
          <w:p w14:paraId="62AA24B0">
            <w:pPr>
              <w:widowControl/>
              <w:rPr>
                <w:rFonts w:ascii="宋体" w:hAnsi="宋体" w:cs="宋体"/>
                <w:kern w:val="0"/>
                <w:szCs w:val="21"/>
                <w:lang w:bidi="ar"/>
              </w:rPr>
            </w:pPr>
            <w:r>
              <w:rPr>
                <w:rFonts w:hint="eastAsia" w:ascii="宋体" w:hAnsi="宋体" w:cs="宋体"/>
                <w:kern w:val="0"/>
                <w:szCs w:val="21"/>
                <w:lang w:bidi="ar"/>
              </w:rPr>
              <w:t>5.4</w:t>
            </w:r>
            <w:r>
              <w:rPr>
                <w:rFonts w:ascii="宋体" w:hAnsi="宋体" w:cs="宋体"/>
                <w:kern w:val="0"/>
                <w:szCs w:val="21"/>
                <w:lang w:bidi="ar"/>
              </w:rPr>
              <w:t>5</w:t>
            </w:r>
            <w:r>
              <w:rPr>
                <w:rFonts w:hint="eastAsia" w:ascii="宋体" w:hAnsi="宋体" w:cs="宋体"/>
                <w:kern w:val="0"/>
                <w:szCs w:val="21"/>
                <w:lang w:bidi="ar"/>
              </w:rPr>
              <w:t xml:space="preserve"> 电源要求：电压 220V±22V，频率 50 Hz±1Hz</w:t>
            </w:r>
          </w:p>
          <w:p w14:paraId="0707BCF6">
            <w:pPr>
              <w:widowControl/>
              <w:rPr>
                <w:rFonts w:ascii="宋体" w:hAnsi="宋体" w:cs="宋体"/>
                <w:kern w:val="0"/>
                <w:szCs w:val="21"/>
                <w:lang w:bidi="ar"/>
              </w:rPr>
            </w:pPr>
            <w:r>
              <w:rPr>
                <w:rFonts w:hint="eastAsia" w:ascii="宋体" w:hAnsi="宋体" w:cs="宋体"/>
                <w:kern w:val="0"/>
                <w:szCs w:val="21"/>
                <w:lang w:bidi="ar"/>
              </w:rPr>
              <w:t>5.4</w:t>
            </w:r>
            <w:r>
              <w:rPr>
                <w:rFonts w:ascii="宋体" w:hAnsi="宋体" w:cs="宋体"/>
                <w:kern w:val="0"/>
                <w:szCs w:val="21"/>
                <w:lang w:bidi="ar"/>
              </w:rPr>
              <w:t>6</w:t>
            </w:r>
            <w:r>
              <w:rPr>
                <w:rFonts w:hint="eastAsia" w:ascii="宋体" w:hAnsi="宋体" w:cs="宋体"/>
                <w:kern w:val="0"/>
                <w:szCs w:val="21"/>
                <w:lang w:bidi="ar"/>
              </w:rPr>
              <w:t xml:space="preserve"> 使用温度：10℃-30℃</w:t>
            </w:r>
          </w:p>
          <w:p w14:paraId="6CCBEED4">
            <w:pPr>
              <w:widowControl/>
              <w:rPr>
                <w:rFonts w:ascii="宋体" w:hAnsi="宋体" w:cs="宋体"/>
                <w:kern w:val="0"/>
                <w:szCs w:val="21"/>
                <w:lang w:bidi="ar"/>
              </w:rPr>
            </w:pPr>
            <w:r>
              <w:rPr>
                <w:rFonts w:hint="eastAsia" w:ascii="宋体" w:hAnsi="宋体" w:cs="宋体"/>
                <w:kern w:val="0"/>
                <w:szCs w:val="21"/>
                <w:lang w:bidi="ar"/>
              </w:rPr>
              <w:t>5.4</w:t>
            </w:r>
            <w:r>
              <w:rPr>
                <w:rFonts w:ascii="宋体" w:hAnsi="宋体" w:cs="宋体"/>
                <w:kern w:val="0"/>
                <w:szCs w:val="21"/>
                <w:lang w:bidi="ar"/>
              </w:rPr>
              <w:t>7</w:t>
            </w:r>
            <w:r>
              <w:rPr>
                <w:rFonts w:hint="eastAsia" w:ascii="宋体" w:hAnsi="宋体" w:cs="宋体"/>
                <w:kern w:val="0"/>
                <w:szCs w:val="21"/>
                <w:lang w:bidi="ar"/>
              </w:rPr>
              <w:t xml:space="preserve"> 使用湿度：40%-85%</w:t>
            </w:r>
          </w:p>
          <w:p w14:paraId="45239219">
            <w:pPr>
              <w:widowControl/>
              <w:rPr>
                <w:rFonts w:ascii="宋体" w:hAnsi="宋体" w:cs="宋体"/>
                <w:kern w:val="0"/>
                <w:szCs w:val="21"/>
                <w:lang w:bidi="ar"/>
              </w:rPr>
            </w:pPr>
            <w:r>
              <w:rPr>
                <w:rFonts w:hint="eastAsia" w:ascii="宋体" w:hAnsi="宋体" w:cs="宋体"/>
                <w:kern w:val="0"/>
                <w:szCs w:val="21"/>
                <w:lang w:bidi="ar"/>
              </w:rPr>
              <w:t>6、主要配置：</w:t>
            </w:r>
          </w:p>
          <w:p w14:paraId="045B2B8F">
            <w:pPr>
              <w:widowControl/>
              <w:rPr>
                <w:rFonts w:ascii="宋体" w:hAnsi="宋体" w:cs="宋体"/>
                <w:kern w:val="0"/>
                <w:szCs w:val="21"/>
                <w:lang w:bidi="ar"/>
              </w:rPr>
            </w:pPr>
            <w:r>
              <w:rPr>
                <w:rFonts w:hint="eastAsia" w:ascii="宋体" w:hAnsi="宋体" w:cs="宋体"/>
                <w:kern w:val="0"/>
                <w:szCs w:val="21"/>
                <w:lang w:bidi="ar"/>
              </w:rPr>
              <w:t>6.1 火焰石墨炉主机，1台；</w:t>
            </w:r>
          </w:p>
          <w:p w14:paraId="1FCAF551">
            <w:pPr>
              <w:widowControl/>
              <w:rPr>
                <w:rFonts w:ascii="宋体" w:hAnsi="宋体" w:cs="宋体"/>
                <w:kern w:val="0"/>
                <w:szCs w:val="21"/>
                <w:lang w:bidi="ar"/>
              </w:rPr>
            </w:pPr>
            <w:r>
              <w:rPr>
                <w:rFonts w:hint="eastAsia" w:ascii="宋体" w:hAnsi="宋体" w:cs="宋体"/>
                <w:kern w:val="0"/>
                <w:szCs w:val="21"/>
                <w:lang w:bidi="ar"/>
              </w:rPr>
              <w:t>6.2 安装包以及耗材包，1套；</w:t>
            </w:r>
          </w:p>
          <w:p w14:paraId="4B0C96FB">
            <w:pPr>
              <w:widowControl/>
              <w:rPr>
                <w:rFonts w:ascii="宋体" w:hAnsi="宋体" w:cs="宋体"/>
                <w:kern w:val="0"/>
                <w:szCs w:val="21"/>
                <w:lang w:bidi="ar"/>
              </w:rPr>
            </w:pPr>
            <w:r>
              <w:rPr>
                <w:rFonts w:hint="eastAsia" w:ascii="宋体" w:hAnsi="宋体" w:cs="宋体"/>
                <w:kern w:val="0"/>
                <w:szCs w:val="21"/>
                <w:lang w:bidi="ar"/>
              </w:rPr>
              <w:t>6.3 阴极空心灯，8支；</w:t>
            </w:r>
          </w:p>
          <w:p w14:paraId="3B22EBFF">
            <w:pPr>
              <w:widowControl/>
              <w:rPr>
                <w:rFonts w:ascii="宋体" w:hAnsi="宋体" w:cs="宋体"/>
                <w:kern w:val="0"/>
                <w:szCs w:val="21"/>
                <w:lang w:bidi="ar"/>
              </w:rPr>
            </w:pPr>
            <w:r>
              <w:rPr>
                <w:rFonts w:hint="eastAsia" w:ascii="宋体" w:hAnsi="宋体" w:cs="宋体"/>
                <w:kern w:val="0"/>
                <w:szCs w:val="21"/>
                <w:lang w:bidi="ar"/>
              </w:rPr>
              <w:t>6.4 空压机，一台</w:t>
            </w:r>
          </w:p>
          <w:p w14:paraId="675EF8E8">
            <w:pPr>
              <w:widowControl/>
              <w:rPr>
                <w:rFonts w:ascii="宋体" w:hAnsi="宋体" w:cs="宋体"/>
                <w:kern w:val="0"/>
                <w:szCs w:val="21"/>
                <w:lang w:bidi="ar"/>
              </w:rPr>
            </w:pPr>
            <w:r>
              <w:rPr>
                <w:rFonts w:hint="eastAsia" w:ascii="宋体" w:hAnsi="宋体" w:cs="宋体"/>
                <w:kern w:val="0"/>
                <w:szCs w:val="21"/>
                <w:lang w:bidi="ar"/>
              </w:rPr>
              <w:t>6.5 冷却水循环机，一台</w:t>
            </w:r>
          </w:p>
          <w:p w14:paraId="394089DE">
            <w:pPr>
              <w:widowControl/>
              <w:rPr>
                <w:rFonts w:ascii="宋体" w:hAnsi="宋体" w:cs="宋体"/>
                <w:kern w:val="0"/>
                <w:szCs w:val="21"/>
                <w:lang w:bidi="ar"/>
              </w:rPr>
            </w:pPr>
            <w:r>
              <w:rPr>
                <w:rFonts w:hint="eastAsia" w:ascii="宋体" w:hAnsi="宋体" w:cs="宋体"/>
                <w:kern w:val="0"/>
                <w:szCs w:val="21"/>
                <w:lang w:bidi="ar"/>
              </w:rPr>
              <w:t>6.6 审计追踪软件，一套</w:t>
            </w:r>
          </w:p>
          <w:p w14:paraId="13316963">
            <w:pPr>
              <w:widowControl/>
              <w:rPr>
                <w:rFonts w:ascii="宋体" w:hAnsi="宋体" w:cs="宋体"/>
                <w:kern w:val="0"/>
                <w:szCs w:val="21"/>
                <w:lang w:bidi="ar"/>
              </w:rPr>
            </w:pPr>
            <w:r>
              <w:rPr>
                <w:rFonts w:hint="eastAsia" w:ascii="宋体" w:hAnsi="宋体" w:cs="宋体"/>
                <w:kern w:val="0"/>
                <w:szCs w:val="21"/>
                <w:lang w:bidi="ar"/>
              </w:rPr>
              <w:t>7、售后</w:t>
            </w:r>
          </w:p>
          <w:p w14:paraId="52D107A9">
            <w:pPr>
              <w:widowControl/>
              <w:rPr>
                <w:rFonts w:ascii="宋体" w:hAnsi="宋体" w:cs="宋体"/>
                <w:kern w:val="0"/>
                <w:szCs w:val="21"/>
                <w:lang w:bidi="ar"/>
              </w:rPr>
            </w:pPr>
            <w:r>
              <w:rPr>
                <w:rFonts w:hint="eastAsia" w:ascii="宋体" w:hAnsi="宋体" w:cs="宋体"/>
                <w:kern w:val="0"/>
                <w:szCs w:val="21"/>
                <w:lang w:bidi="ar"/>
              </w:rPr>
              <w:t>7.1 主机质保壹年，软件终身免费升级</w:t>
            </w:r>
          </w:p>
          <w:p w14:paraId="44F42391">
            <w:pPr>
              <w:widowControl/>
              <w:rPr>
                <w:rFonts w:ascii="宋体" w:hAnsi="宋体" w:cs="宋体"/>
                <w:kern w:val="0"/>
                <w:szCs w:val="21"/>
                <w:lang w:bidi="ar"/>
              </w:rPr>
            </w:pPr>
            <w:r>
              <w:rPr>
                <w:rFonts w:hint="eastAsia" w:ascii="宋体" w:hAnsi="宋体" w:cs="宋体"/>
                <w:kern w:val="0"/>
                <w:szCs w:val="21"/>
                <w:lang w:bidi="ar"/>
              </w:rPr>
              <w:t>7.2 在接到用户故障信息后 2 小时内响应，72 个小时内派人上门维修和排除故障，广西本地有售后工程师24×7服务。</w:t>
            </w:r>
          </w:p>
          <w:p w14:paraId="6CCA7418">
            <w:pPr>
              <w:widowControl/>
              <w:rPr>
                <w:rFonts w:ascii="宋体" w:hAnsi="宋体" w:cs="宋体"/>
                <w:kern w:val="0"/>
                <w:szCs w:val="21"/>
                <w:lang w:bidi="ar"/>
              </w:rPr>
            </w:pPr>
            <w:r>
              <w:rPr>
                <w:rFonts w:hint="eastAsia" w:ascii="宋体" w:hAnsi="宋体" w:cs="宋体"/>
                <w:kern w:val="0"/>
                <w:szCs w:val="21"/>
                <w:lang w:bidi="ar"/>
              </w:rPr>
              <w:t>7.3 安装调试：厂家工程技术人员现场安装的同时，对设备进行检验调试，使设备各项技术指 标达到要求。在现场对操作人员进行培训，确保人员能正确使用和维护仪器，现场安装所需工具器材，交通食宿厂家自理，培训及技术服务均为免费。</w:t>
            </w:r>
          </w:p>
        </w:tc>
      </w:tr>
      <w:tr w14:paraId="61BD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B233FD9">
            <w:pPr>
              <w:numPr>
                <w:ilvl w:val="0"/>
                <w:numId w:val="2"/>
              </w:numPr>
              <w:ind w:left="0" w:firstLine="0"/>
              <w:jc w:val="center"/>
              <w:rPr>
                <w:rFonts w:ascii="宋体" w:hAnsi="宋体" w:cs="宋体"/>
                <w:szCs w:val="21"/>
              </w:rPr>
            </w:pPr>
          </w:p>
        </w:tc>
        <w:tc>
          <w:tcPr>
            <w:tcW w:w="1276" w:type="dxa"/>
            <w:vAlign w:val="center"/>
          </w:tcPr>
          <w:p w14:paraId="37FA58AC">
            <w:pPr>
              <w:jc w:val="center"/>
              <w:rPr>
                <w:rFonts w:ascii="宋体" w:hAnsi="宋体" w:cs="宋体"/>
                <w:szCs w:val="21"/>
              </w:rPr>
            </w:pPr>
            <w:r>
              <w:rPr>
                <w:rFonts w:hint="eastAsia" w:ascii="宋体" w:hAnsi="宋体" w:cs="宋体"/>
                <w:szCs w:val="21"/>
              </w:rPr>
              <w:t>化工传热综合及设计型实验装置</w:t>
            </w:r>
          </w:p>
        </w:tc>
        <w:tc>
          <w:tcPr>
            <w:tcW w:w="709" w:type="dxa"/>
            <w:vAlign w:val="center"/>
          </w:tcPr>
          <w:p w14:paraId="37936338">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11B81139">
            <w:pPr>
              <w:jc w:val="center"/>
              <w:rPr>
                <w:rFonts w:ascii="宋体" w:hAnsi="宋体" w:cs="宋体"/>
                <w:iCs/>
                <w:szCs w:val="21"/>
              </w:rPr>
            </w:pPr>
            <w:r>
              <w:rPr>
                <w:rFonts w:hint="eastAsia" w:ascii="宋体" w:hAnsi="宋体" w:cs="宋体"/>
                <w:iCs/>
                <w:szCs w:val="21"/>
              </w:rPr>
              <w:t>套</w:t>
            </w:r>
          </w:p>
        </w:tc>
        <w:tc>
          <w:tcPr>
            <w:tcW w:w="5611" w:type="dxa"/>
          </w:tcPr>
          <w:p w14:paraId="0B1F88FB">
            <w:pPr>
              <w:widowControl/>
              <w:rPr>
                <w:rFonts w:ascii="宋体" w:hAnsi="宋体" w:cs="宋体"/>
                <w:kern w:val="0"/>
                <w:szCs w:val="21"/>
                <w:lang w:bidi="ar"/>
              </w:rPr>
            </w:pPr>
            <w:r>
              <w:rPr>
                <w:rFonts w:hint="eastAsia" w:ascii="宋体" w:hAnsi="宋体" w:cs="宋体"/>
                <w:kern w:val="0"/>
                <w:szCs w:val="21"/>
                <w:lang w:bidi="ar"/>
              </w:rPr>
              <w:t>1、普通传热管：</w:t>
            </w:r>
          </w:p>
          <w:p w14:paraId="22BE6481">
            <w:pPr>
              <w:widowControl/>
              <w:rPr>
                <w:rFonts w:ascii="宋体" w:hAnsi="宋体" w:cs="宋体"/>
                <w:kern w:val="0"/>
                <w:szCs w:val="21"/>
                <w:lang w:bidi="ar"/>
              </w:rPr>
            </w:pPr>
            <w:r>
              <w:rPr>
                <w:rFonts w:hint="eastAsia" w:ascii="宋体" w:hAnsi="宋体" w:cs="宋体"/>
                <w:kern w:val="0"/>
                <w:szCs w:val="21"/>
                <w:lang w:bidi="ar"/>
              </w:rPr>
              <w:t>空气流量： 4--40m3/h、空气温度：常温--60℃、常压操作；雷诺准数Re：104--5×104、努塞尔准数Nu：40--120、普兰德准数Pr：0.7；对流传热系数αi：50--150 W/m2·℃</w:t>
            </w:r>
          </w:p>
          <w:p w14:paraId="2FE36A60">
            <w:pPr>
              <w:widowControl/>
              <w:rPr>
                <w:rFonts w:ascii="宋体" w:hAnsi="宋体" w:cs="宋体"/>
                <w:kern w:val="0"/>
                <w:szCs w:val="21"/>
                <w:lang w:bidi="ar"/>
              </w:rPr>
            </w:pPr>
            <w:r>
              <w:rPr>
                <w:rFonts w:hint="eastAsia" w:ascii="宋体" w:hAnsi="宋体" w:cs="宋体"/>
                <w:kern w:val="0"/>
                <w:szCs w:val="21"/>
                <w:lang w:bidi="ar"/>
              </w:rPr>
              <w:t>2、强化传热管：</w:t>
            </w:r>
          </w:p>
          <w:p w14:paraId="08FF6779">
            <w:pPr>
              <w:widowControl/>
              <w:rPr>
                <w:rFonts w:ascii="宋体" w:hAnsi="宋体" w:cs="宋体"/>
                <w:kern w:val="0"/>
                <w:szCs w:val="21"/>
                <w:lang w:bidi="ar"/>
              </w:rPr>
            </w:pPr>
            <w:r>
              <w:rPr>
                <w:rFonts w:hint="eastAsia" w:ascii="宋体" w:hAnsi="宋体" w:cs="宋体"/>
                <w:kern w:val="0"/>
                <w:szCs w:val="21"/>
                <w:lang w:bidi="ar"/>
              </w:rPr>
              <w:t>空气流量： 4--40m3/h、空气温度：常温--60℃、常压操作；雷诺准数Re：104—5×104、努塞尔准数Nu：40--120、普兰德准数Pr：0.7；对流传热系数αi：100-200 W/m2·℃；强化比：1.3--2.0</w:t>
            </w:r>
          </w:p>
          <w:p w14:paraId="7C39D9D6">
            <w:pPr>
              <w:widowControl/>
              <w:rPr>
                <w:rFonts w:ascii="宋体" w:hAnsi="宋体" w:cs="宋体"/>
                <w:kern w:val="0"/>
                <w:szCs w:val="21"/>
                <w:lang w:bidi="ar"/>
              </w:rPr>
            </w:pPr>
            <w:r>
              <w:rPr>
                <w:rFonts w:hint="eastAsia" w:ascii="宋体" w:hAnsi="宋体" w:cs="宋体"/>
                <w:kern w:val="0"/>
                <w:szCs w:val="21"/>
                <w:lang w:bidi="ar"/>
              </w:rPr>
              <w:t>3、列管换热器：</w:t>
            </w:r>
          </w:p>
          <w:p w14:paraId="66372E6C">
            <w:pPr>
              <w:widowControl/>
              <w:rPr>
                <w:rFonts w:ascii="宋体" w:hAnsi="宋体" w:cs="宋体"/>
                <w:kern w:val="0"/>
                <w:szCs w:val="21"/>
                <w:lang w:bidi="ar"/>
              </w:rPr>
            </w:pPr>
            <w:r>
              <w:rPr>
                <w:rFonts w:hint="eastAsia" w:ascii="宋体" w:hAnsi="宋体" w:cs="宋体"/>
                <w:kern w:val="0"/>
                <w:szCs w:val="21"/>
                <w:lang w:bidi="ar"/>
              </w:rPr>
              <w:t xml:space="preserve">空气流量： 4--40m3/h、空气温度：常温--60℃、常压操作；总传热系数K0：50--500 W/m2·℃.   </w:t>
            </w:r>
          </w:p>
          <w:p w14:paraId="429F0A62">
            <w:pPr>
              <w:widowControl/>
              <w:rPr>
                <w:rFonts w:ascii="宋体" w:hAnsi="宋体" w:cs="宋体"/>
                <w:kern w:val="0"/>
                <w:szCs w:val="21"/>
                <w:lang w:bidi="ar"/>
              </w:rPr>
            </w:pPr>
            <w:r>
              <w:rPr>
                <w:rFonts w:hint="eastAsia" w:ascii="宋体" w:hAnsi="宋体" w:cs="宋体"/>
                <w:kern w:val="0"/>
                <w:szCs w:val="21"/>
                <w:lang w:bidi="ar"/>
              </w:rPr>
              <w:t>4、主要框架</w:t>
            </w:r>
            <w:r>
              <w:rPr>
                <w:rFonts w:hint="eastAsia" w:ascii="宋体" w:hAnsi="宋体" w:cs="宋体"/>
                <w:kern w:val="0"/>
                <w:szCs w:val="21"/>
                <w:lang w:bidi="ar"/>
              </w:rPr>
              <w:tab/>
            </w:r>
            <w:r>
              <w:rPr>
                <w:rFonts w:hint="eastAsia" w:ascii="宋体" w:hAnsi="宋体" w:cs="宋体"/>
                <w:kern w:val="0"/>
                <w:szCs w:val="21"/>
                <w:lang w:bidi="ar"/>
              </w:rPr>
              <w:t>整机采用不锈钢制框架外形尺寸</w:t>
            </w:r>
          </w:p>
          <w:p w14:paraId="4A3FA299">
            <w:pPr>
              <w:widowControl/>
              <w:rPr>
                <w:rFonts w:ascii="宋体" w:hAnsi="宋体" w:cs="宋体"/>
                <w:kern w:val="0"/>
                <w:szCs w:val="21"/>
                <w:lang w:bidi="ar"/>
              </w:rPr>
            </w:pPr>
            <w:r>
              <w:rPr>
                <w:rFonts w:hint="eastAsia" w:ascii="宋体" w:hAnsi="宋体" w:cs="宋体"/>
                <w:kern w:val="0"/>
                <w:szCs w:val="21"/>
                <w:lang w:bidi="ar"/>
              </w:rPr>
              <w:t>2200×550×1800mm (长×宽×高) （带脚轮及禁锢脚）</w:t>
            </w:r>
          </w:p>
          <w:p w14:paraId="367BFDEA">
            <w:pPr>
              <w:widowControl/>
              <w:rPr>
                <w:rFonts w:ascii="宋体" w:hAnsi="宋体" w:cs="宋体"/>
                <w:kern w:val="0"/>
                <w:szCs w:val="21"/>
                <w:lang w:bidi="ar"/>
              </w:rPr>
            </w:pPr>
            <w:r>
              <w:rPr>
                <w:rFonts w:hint="eastAsia" w:ascii="宋体" w:hAnsi="宋体" w:cs="宋体"/>
                <w:kern w:val="0"/>
                <w:szCs w:val="21"/>
                <w:lang w:bidi="ar"/>
              </w:rPr>
              <w:t>5、水罐：不锈钢，Φ200mm、高300mm，带玻璃液位计</w:t>
            </w:r>
          </w:p>
          <w:p w14:paraId="71DDCA23">
            <w:pPr>
              <w:widowControl/>
              <w:rPr>
                <w:rFonts w:ascii="宋体" w:hAnsi="宋体" w:cs="宋体"/>
                <w:kern w:val="0"/>
                <w:szCs w:val="21"/>
                <w:lang w:bidi="ar"/>
              </w:rPr>
            </w:pPr>
            <w:r>
              <w:rPr>
                <w:rFonts w:hint="eastAsia" w:ascii="宋体" w:hAnsi="宋体" w:cs="宋体"/>
                <w:kern w:val="0"/>
                <w:szCs w:val="21"/>
                <w:lang w:bidi="ar"/>
              </w:rPr>
              <w:t>6、蒸汽发生器：不锈钢，Φ125mm、高460mm带2.5KW加热棒</w:t>
            </w:r>
          </w:p>
          <w:p w14:paraId="644AF206">
            <w:pPr>
              <w:widowControl/>
              <w:rPr>
                <w:rFonts w:ascii="宋体" w:hAnsi="宋体" w:cs="宋体"/>
                <w:kern w:val="0"/>
                <w:szCs w:val="21"/>
                <w:lang w:bidi="ar"/>
              </w:rPr>
            </w:pPr>
            <w:r>
              <w:rPr>
                <w:rFonts w:hint="eastAsia" w:ascii="宋体" w:hAnsi="宋体" w:cs="宋体"/>
                <w:kern w:val="0"/>
                <w:szCs w:val="21"/>
                <w:lang w:bidi="ar"/>
              </w:rPr>
              <w:t>7、套管换热器：不锈钢，换热面积0.075 m2</w:t>
            </w:r>
          </w:p>
          <w:p w14:paraId="625DB589">
            <w:pPr>
              <w:widowControl/>
              <w:rPr>
                <w:rFonts w:ascii="宋体" w:hAnsi="宋体" w:cs="宋体"/>
                <w:kern w:val="0"/>
                <w:szCs w:val="21"/>
                <w:lang w:bidi="ar"/>
              </w:rPr>
            </w:pPr>
            <w:r>
              <w:rPr>
                <w:rFonts w:hint="eastAsia" w:ascii="宋体" w:hAnsi="宋体" w:cs="宋体"/>
                <w:kern w:val="0"/>
                <w:szCs w:val="21"/>
                <w:lang w:bidi="ar"/>
              </w:rPr>
              <w:t>8、强化传热管：不锈钢螺旋线管丝径1mm、节距40mm</w:t>
            </w:r>
          </w:p>
          <w:p w14:paraId="102FF09A">
            <w:pPr>
              <w:widowControl/>
              <w:rPr>
                <w:rFonts w:ascii="宋体" w:hAnsi="宋体" w:cs="宋体"/>
                <w:kern w:val="0"/>
                <w:szCs w:val="21"/>
                <w:lang w:bidi="ar"/>
              </w:rPr>
            </w:pPr>
            <w:r>
              <w:rPr>
                <w:rFonts w:hint="eastAsia" w:ascii="宋体" w:hAnsi="宋体" w:cs="宋体"/>
                <w:kern w:val="0"/>
                <w:szCs w:val="21"/>
                <w:lang w:bidi="ar"/>
              </w:rPr>
              <w:t>9、列管换热器：不锈钢，可变换热面积（0.075--0.42） m2</w:t>
            </w:r>
          </w:p>
          <w:p w14:paraId="48BA0F2F">
            <w:pPr>
              <w:widowControl/>
              <w:rPr>
                <w:rFonts w:ascii="宋体" w:hAnsi="宋体" w:cs="宋体"/>
                <w:kern w:val="0"/>
                <w:szCs w:val="21"/>
                <w:lang w:bidi="ar"/>
              </w:rPr>
            </w:pPr>
            <w:r>
              <w:rPr>
                <w:rFonts w:hint="eastAsia" w:ascii="宋体" w:hAnsi="宋体" w:cs="宋体"/>
                <w:kern w:val="0"/>
                <w:szCs w:val="21"/>
                <w:lang w:bidi="ar"/>
              </w:rPr>
              <w:t>10、孔板流量计：孔径 Φ17mm</w:t>
            </w:r>
          </w:p>
          <w:p w14:paraId="09B3BC22">
            <w:pPr>
              <w:widowControl/>
              <w:rPr>
                <w:rFonts w:ascii="宋体" w:hAnsi="宋体" w:cs="宋体"/>
                <w:kern w:val="0"/>
                <w:szCs w:val="21"/>
                <w:lang w:bidi="ar"/>
              </w:rPr>
            </w:pPr>
            <w:r>
              <w:rPr>
                <w:rFonts w:hint="eastAsia" w:ascii="宋体" w:hAnsi="宋体" w:cs="宋体"/>
                <w:kern w:val="0"/>
                <w:szCs w:val="21"/>
                <w:lang w:bidi="ar"/>
              </w:rPr>
              <w:t>11、管件、管路、阀门</w:t>
            </w:r>
            <w:r>
              <w:rPr>
                <w:rFonts w:hint="eastAsia" w:ascii="宋体" w:hAnsi="宋体" w:cs="宋体"/>
                <w:kern w:val="0"/>
                <w:szCs w:val="21"/>
                <w:lang w:bidi="ar"/>
              </w:rPr>
              <w:tab/>
            </w:r>
            <w:r>
              <w:rPr>
                <w:rFonts w:hint="eastAsia" w:ascii="宋体" w:hAnsi="宋体" w:cs="宋体"/>
                <w:kern w:val="0"/>
                <w:szCs w:val="21"/>
                <w:lang w:bidi="ar"/>
              </w:rPr>
              <w:t>食品级不锈钢304；壁厚2mm</w:t>
            </w:r>
          </w:p>
          <w:p w14:paraId="04B790AE">
            <w:pPr>
              <w:widowControl/>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2</w:t>
            </w:r>
            <w:r>
              <w:rPr>
                <w:rFonts w:hint="eastAsia" w:ascii="宋体" w:hAnsi="宋体" w:cs="宋体"/>
                <w:kern w:val="0"/>
                <w:szCs w:val="21"/>
                <w:lang w:bidi="ar"/>
              </w:rPr>
              <w:t>、冷凝回流观测段</w:t>
            </w:r>
            <w:r>
              <w:rPr>
                <w:rFonts w:hint="eastAsia" w:ascii="宋体" w:hAnsi="宋体" w:cs="宋体"/>
                <w:kern w:val="0"/>
                <w:szCs w:val="21"/>
                <w:lang w:bidi="ar"/>
              </w:rPr>
              <w:tab/>
            </w:r>
            <w:r>
              <w:rPr>
                <w:rFonts w:hint="eastAsia" w:ascii="宋体" w:hAnsi="宋体" w:cs="宋体"/>
                <w:kern w:val="0"/>
                <w:szCs w:val="21"/>
                <w:lang w:bidi="ar"/>
              </w:rPr>
              <w:t>玻璃视盅；Φ60、长度100mm</w:t>
            </w:r>
          </w:p>
          <w:p w14:paraId="4AC256A8">
            <w:pPr>
              <w:widowControl/>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3</w:t>
            </w:r>
            <w:r>
              <w:rPr>
                <w:rFonts w:hint="eastAsia" w:ascii="宋体" w:hAnsi="宋体" w:cs="宋体"/>
                <w:kern w:val="0"/>
                <w:szCs w:val="21"/>
                <w:lang w:bidi="ar"/>
              </w:rPr>
              <w:t>、风机：XGB-12，最大流量100m3/h ,最大压力14KPa，正常工作压力小于9KPa，真空度11KPa，电机功率550W</w:t>
            </w:r>
          </w:p>
          <w:p w14:paraId="2E41381D">
            <w:pPr>
              <w:widowControl/>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4</w:t>
            </w:r>
            <w:r>
              <w:rPr>
                <w:rFonts w:hint="eastAsia" w:ascii="宋体" w:hAnsi="宋体" w:cs="宋体"/>
                <w:kern w:val="0"/>
                <w:szCs w:val="21"/>
                <w:lang w:bidi="ar"/>
              </w:rPr>
              <w:t>、消音器：不锈钢</w:t>
            </w:r>
          </w:p>
          <w:p w14:paraId="0B92B8EB">
            <w:pPr>
              <w:widowControl/>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5</w:t>
            </w:r>
            <w:r>
              <w:rPr>
                <w:rFonts w:hint="eastAsia" w:ascii="宋体" w:hAnsi="宋体" w:cs="宋体"/>
                <w:kern w:val="0"/>
                <w:szCs w:val="21"/>
                <w:lang w:bidi="ar"/>
              </w:rPr>
              <w:t>、变频器：S310+-401-H3BCD（0.75KW）</w:t>
            </w:r>
          </w:p>
          <w:p w14:paraId="05D772A6">
            <w:pPr>
              <w:widowControl/>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6</w:t>
            </w:r>
            <w:r>
              <w:rPr>
                <w:rFonts w:hint="eastAsia" w:ascii="宋体" w:hAnsi="宋体" w:cs="宋体"/>
                <w:kern w:val="0"/>
                <w:szCs w:val="21"/>
                <w:lang w:bidi="ar"/>
              </w:rPr>
              <w:t>、温度传感器：Φ3mm×120mm、Pt100热电阻</w:t>
            </w:r>
          </w:p>
          <w:p w14:paraId="14FA84B0">
            <w:pPr>
              <w:widowControl/>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7</w:t>
            </w:r>
            <w:r>
              <w:rPr>
                <w:rFonts w:hint="eastAsia" w:ascii="宋体" w:hAnsi="宋体" w:cs="宋体"/>
                <w:kern w:val="0"/>
                <w:szCs w:val="21"/>
                <w:lang w:bidi="ar"/>
              </w:rPr>
              <w:t>、温度多路显示仪表：AI-702MFJ0J0</w:t>
            </w:r>
          </w:p>
          <w:p w14:paraId="58E2929C">
            <w:pPr>
              <w:widowControl/>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8</w:t>
            </w:r>
            <w:r>
              <w:rPr>
                <w:rFonts w:hint="eastAsia" w:ascii="宋体" w:hAnsi="宋体" w:cs="宋体"/>
                <w:kern w:val="0"/>
                <w:szCs w:val="21"/>
                <w:lang w:bidi="ar"/>
              </w:rPr>
              <w:t>、温度传感器：铜-康铜热电偶</w:t>
            </w:r>
          </w:p>
          <w:p w14:paraId="5E6ABAD8">
            <w:pPr>
              <w:widowControl/>
              <w:rPr>
                <w:rFonts w:ascii="宋体" w:hAnsi="宋体" w:cs="宋体"/>
                <w:kern w:val="0"/>
                <w:szCs w:val="21"/>
                <w:lang w:bidi="ar"/>
              </w:rPr>
            </w:pPr>
            <w:r>
              <w:rPr>
                <w:rFonts w:ascii="宋体" w:hAnsi="宋体" w:cs="宋体"/>
                <w:kern w:val="0"/>
                <w:szCs w:val="21"/>
                <w:lang w:bidi="ar"/>
              </w:rPr>
              <w:t>19</w:t>
            </w:r>
            <w:r>
              <w:rPr>
                <w:rFonts w:hint="eastAsia" w:ascii="宋体" w:hAnsi="宋体" w:cs="宋体"/>
                <w:kern w:val="0"/>
                <w:szCs w:val="21"/>
                <w:lang w:bidi="ar"/>
              </w:rPr>
              <w:t>、温度显示仪表：AI-701MF</w:t>
            </w:r>
          </w:p>
          <w:p w14:paraId="50C6B3CD">
            <w:pPr>
              <w:widowControl/>
              <w:rPr>
                <w:rFonts w:ascii="宋体" w:hAnsi="宋体" w:cs="宋体"/>
                <w:kern w:val="0"/>
                <w:szCs w:val="21"/>
                <w:lang w:bidi="ar"/>
              </w:rPr>
            </w:pPr>
            <w:r>
              <w:rPr>
                <w:rFonts w:hint="eastAsia" w:ascii="宋体" w:hAnsi="宋体" w:cs="宋体"/>
                <w:kern w:val="0"/>
                <w:szCs w:val="21"/>
                <w:lang w:bidi="ar"/>
              </w:rPr>
              <w:t>2</w:t>
            </w:r>
            <w:r>
              <w:rPr>
                <w:rFonts w:ascii="宋体" w:hAnsi="宋体" w:cs="宋体"/>
                <w:kern w:val="0"/>
                <w:szCs w:val="21"/>
                <w:lang w:bidi="ar"/>
              </w:rPr>
              <w:t>0</w:t>
            </w:r>
            <w:r>
              <w:rPr>
                <w:rFonts w:hint="eastAsia" w:ascii="宋体" w:hAnsi="宋体" w:cs="宋体"/>
                <w:kern w:val="0"/>
                <w:szCs w:val="21"/>
                <w:lang w:bidi="ar"/>
              </w:rPr>
              <w:t>、压差传感器：0--10KPa（铝）</w:t>
            </w:r>
          </w:p>
          <w:p w14:paraId="597A0A23">
            <w:pPr>
              <w:widowControl/>
              <w:rPr>
                <w:rFonts w:ascii="宋体" w:hAnsi="宋体" w:cs="宋体"/>
                <w:kern w:val="0"/>
                <w:szCs w:val="21"/>
                <w:lang w:bidi="ar"/>
              </w:rPr>
            </w:pPr>
            <w:r>
              <w:rPr>
                <w:rFonts w:hint="eastAsia" w:ascii="宋体" w:hAnsi="宋体" w:cs="宋体"/>
                <w:kern w:val="0"/>
                <w:szCs w:val="21"/>
                <w:lang w:bidi="ar"/>
              </w:rPr>
              <w:t>2</w:t>
            </w:r>
            <w:r>
              <w:rPr>
                <w:rFonts w:ascii="宋体" w:hAnsi="宋体" w:cs="宋体"/>
                <w:kern w:val="0"/>
                <w:szCs w:val="21"/>
                <w:lang w:bidi="ar"/>
              </w:rPr>
              <w:t>1</w:t>
            </w:r>
            <w:r>
              <w:rPr>
                <w:rFonts w:hint="eastAsia" w:ascii="宋体" w:hAnsi="宋体" w:cs="宋体"/>
                <w:kern w:val="0"/>
                <w:szCs w:val="21"/>
                <w:lang w:bidi="ar"/>
              </w:rPr>
              <w:t>、压差显示仪表：AI-501FV24</w:t>
            </w:r>
          </w:p>
          <w:p w14:paraId="01962EAF">
            <w:pPr>
              <w:widowControl/>
              <w:rPr>
                <w:rFonts w:ascii="宋体" w:hAnsi="宋体" w:cs="宋体"/>
                <w:kern w:val="0"/>
                <w:szCs w:val="21"/>
                <w:lang w:bidi="ar"/>
              </w:rPr>
            </w:pPr>
            <w:r>
              <w:rPr>
                <w:rFonts w:hint="eastAsia" w:ascii="宋体" w:hAnsi="宋体" w:cs="宋体"/>
                <w:kern w:val="0"/>
                <w:szCs w:val="21"/>
                <w:lang w:bidi="ar"/>
              </w:rPr>
              <w:t>2</w:t>
            </w:r>
            <w:r>
              <w:rPr>
                <w:rFonts w:ascii="宋体" w:hAnsi="宋体" w:cs="宋体"/>
                <w:kern w:val="0"/>
                <w:szCs w:val="21"/>
                <w:lang w:bidi="ar"/>
              </w:rPr>
              <w:t>2</w:t>
            </w:r>
            <w:r>
              <w:rPr>
                <w:rFonts w:hint="eastAsia" w:ascii="宋体" w:hAnsi="宋体" w:cs="宋体"/>
                <w:kern w:val="0"/>
                <w:szCs w:val="21"/>
                <w:lang w:bidi="ar"/>
              </w:rPr>
              <w:t>、电压变送器：PZ1390  0--250V</w:t>
            </w:r>
          </w:p>
          <w:p w14:paraId="6498F0FE">
            <w:pPr>
              <w:widowControl/>
              <w:rPr>
                <w:rFonts w:ascii="宋体" w:hAnsi="宋体" w:cs="宋体"/>
                <w:kern w:val="0"/>
                <w:szCs w:val="21"/>
                <w:lang w:bidi="ar"/>
              </w:rPr>
            </w:pPr>
            <w:r>
              <w:rPr>
                <w:rFonts w:hint="eastAsia" w:ascii="宋体" w:hAnsi="宋体" w:cs="宋体"/>
                <w:kern w:val="0"/>
                <w:szCs w:val="21"/>
                <w:lang w:bidi="ar"/>
              </w:rPr>
              <w:t>2</w:t>
            </w:r>
            <w:r>
              <w:rPr>
                <w:rFonts w:ascii="宋体" w:hAnsi="宋体" w:cs="宋体"/>
                <w:kern w:val="0"/>
                <w:szCs w:val="21"/>
                <w:lang w:bidi="ar"/>
              </w:rPr>
              <w:t>3</w:t>
            </w:r>
            <w:r>
              <w:rPr>
                <w:rFonts w:hint="eastAsia" w:ascii="宋体" w:hAnsi="宋体" w:cs="宋体"/>
                <w:kern w:val="0"/>
                <w:szCs w:val="21"/>
                <w:lang w:bidi="ar"/>
              </w:rPr>
              <w:t>、加热电压显示仪表：AI-519FX3</w:t>
            </w:r>
          </w:p>
          <w:p w14:paraId="0392A16C">
            <w:pPr>
              <w:widowControl/>
              <w:rPr>
                <w:rFonts w:ascii="宋体" w:hAnsi="宋体" w:cs="宋体"/>
                <w:kern w:val="0"/>
                <w:szCs w:val="21"/>
                <w:lang w:bidi="ar"/>
              </w:rPr>
            </w:pPr>
            <w:r>
              <w:rPr>
                <w:rFonts w:hint="eastAsia" w:ascii="宋体" w:hAnsi="宋体" w:cs="宋体"/>
                <w:szCs w:val="21"/>
              </w:rPr>
              <w:t>2</w:t>
            </w:r>
            <w:r>
              <w:rPr>
                <w:rFonts w:ascii="宋体" w:hAnsi="宋体" w:cs="宋体"/>
                <w:szCs w:val="21"/>
              </w:rPr>
              <w:t>4</w:t>
            </w:r>
            <w:r>
              <w:rPr>
                <w:rFonts w:hint="eastAsia" w:ascii="宋体" w:hAnsi="宋体" w:cs="宋体"/>
                <w:szCs w:val="21"/>
              </w:rPr>
              <w:t>、空气冷却器：功率35W，散热面积1.5m</w:t>
            </w:r>
            <w:r>
              <w:rPr>
                <w:rFonts w:hint="eastAsia" w:ascii="宋体" w:hAnsi="宋体" w:cs="宋体"/>
                <w:szCs w:val="21"/>
                <w:vertAlign w:val="superscript"/>
              </w:rPr>
              <w:t>2</w:t>
            </w:r>
          </w:p>
        </w:tc>
      </w:tr>
      <w:tr w14:paraId="047A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084D625">
            <w:pPr>
              <w:numPr>
                <w:ilvl w:val="0"/>
                <w:numId w:val="2"/>
              </w:numPr>
              <w:ind w:left="0" w:firstLine="0"/>
              <w:jc w:val="center"/>
              <w:rPr>
                <w:rFonts w:ascii="宋体" w:hAnsi="宋体" w:cs="宋体"/>
                <w:szCs w:val="21"/>
              </w:rPr>
            </w:pPr>
          </w:p>
        </w:tc>
        <w:tc>
          <w:tcPr>
            <w:tcW w:w="1276" w:type="dxa"/>
            <w:vAlign w:val="center"/>
          </w:tcPr>
          <w:p w14:paraId="6EB895AE">
            <w:pPr>
              <w:jc w:val="center"/>
              <w:rPr>
                <w:rFonts w:ascii="宋体" w:hAnsi="宋体" w:cs="宋体"/>
                <w:szCs w:val="21"/>
              </w:rPr>
            </w:pPr>
            <w:r>
              <w:rPr>
                <w:rFonts w:hint="eastAsia" w:ascii="宋体" w:hAnsi="宋体" w:cs="宋体"/>
                <w:szCs w:val="21"/>
              </w:rPr>
              <w:t>全自动电位滴定仪</w:t>
            </w:r>
          </w:p>
        </w:tc>
        <w:tc>
          <w:tcPr>
            <w:tcW w:w="709" w:type="dxa"/>
            <w:vAlign w:val="center"/>
          </w:tcPr>
          <w:p w14:paraId="12D12867">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1CC82E0A">
            <w:pPr>
              <w:jc w:val="center"/>
              <w:rPr>
                <w:rFonts w:ascii="宋体" w:hAnsi="宋体" w:cs="宋体"/>
                <w:iCs/>
                <w:szCs w:val="21"/>
              </w:rPr>
            </w:pPr>
            <w:r>
              <w:rPr>
                <w:rFonts w:hint="eastAsia" w:ascii="宋体" w:hAnsi="宋体" w:cs="宋体"/>
                <w:iCs/>
                <w:szCs w:val="21"/>
              </w:rPr>
              <w:t>台</w:t>
            </w:r>
          </w:p>
        </w:tc>
        <w:tc>
          <w:tcPr>
            <w:tcW w:w="5611" w:type="dxa"/>
            <w:vAlign w:val="center"/>
          </w:tcPr>
          <w:p w14:paraId="7BD8B6AA">
            <w:pPr>
              <w:widowControl/>
              <w:jc w:val="left"/>
              <w:rPr>
                <w:rFonts w:ascii="宋体" w:hAnsi="宋体" w:cs="宋体"/>
                <w:kern w:val="0"/>
                <w:szCs w:val="21"/>
              </w:rPr>
            </w:pPr>
            <w:r>
              <w:rPr>
                <w:rFonts w:hint="eastAsia" w:ascii="宋体" w:hAnsi="宋体" w:cs="宋体"/>
                <w:kern w:val="0"/>
                <w:szCs w:val="21"/>
              </w:rPr>
              <w:t>1、功能参数</w:t>
            </w:r>
          </w:p>
          <w:p w14:paraId="34D75200">
            <w:pPr>
              <w:widowControl/>
              <w:jc w:val="left"/>
              <w:rPr>
                <w:rFonts w:ascii="宋体" w:hAnsi="宋体" w:cs="宋体"/>
                <w:kern w:val="0"/>
                <w:szCs w:val="21"/>
              </w:rPr>
            </w:pPr>
            <w:r>
              <w:rPr>
                <w:rFonts w:hint="eastAsia" w:ascii="宋体" w:hAnsi="宋体" w:cs="宋体"/>
                <w:kern w:val="0"/>
                <w:szCs w:val="21"/>
              </w:rPr>
              <w:t>★1.1 MV 测量范围：-2400.00MV～+2400.00MV；永停测量范围：0～2000mV；电流范围0-200μA、0-20μA、0-2μA、0-0.2μA</w:t>
            </w:r>
          </w:p>
          <w:p w14:paraId="42C37EAA">
            <w:pPr>
              <w:widowControl/>
              <w:jc w:val="left"/>
              <w:rPr>
                <w:rFonts w:ascii="宋体" w:hAnsi="宋体" w:cs="宋体"/>
                <w:kern w:val="0"/>
                <w:szCs w:val="21"/>
              </w:rPr>
            </w:pPr>
            <w:r>
              <w:rPr>
                <w:rFonts w:hint="eastAsia" w:ascii="宋体" w:hAnsi="宋体" w:cs="宋体"/>
                <w:kern w:val="0"/>
                <w:szCs w:val="21"/>
              </w:rPr>
              <w:t>★1.2  MV 测量：分辨率 0.01MV；PH 测量分辨率 0.0001PH；极化电流分辨率：0.1μA;</w:t>
            </w:r>
          </w:p>
          <w:p w14:paraId="7102A3F2">
            <w:pPr>
              <w:widowControl/>
              <w:jc w:val="left"/>
              <w:rPr>
                <w:rFonts w:ascii="宋体" w:hAnsi="宋体" w:cs="宋体"/>
                <w:kern w:val="0"/>
                <w:szCs w:val="21"/>
              </w:rPr>
            </w:pPr>
            <w:r>
              <w:rPr>
                <w:rFonts w:hint="eastAsia" w:ascii="宋体" w:hAnsi="宋体" w:cs="宋体"/>
                <w:kern w:val="0"/>
                <w:szCs w:val="21"/>
              </w:rPr>
              <w:t>1.3 pH 测量范围：-26.0000PH～+40.0000PH；</w:t>
            </w:r>
          </w:p>
          <w:p w14:paraId="051CB3E7">
            <w:pPr>
              <w:widowControl/>
              <w:jc w:val="left"/>
              <w:rPr>
                <w:rFonts w:ascii="宋体" w:hAnsi="宋体" w:cs="宋体"/>
                <w:kern w:val="0"/>
                <w:szCs w:val="21"/>
              </w:rPr>
            </w:pPr>
            <w:r>
              <w:rPr>
                <w:rFonts w:hint="eastAsia" w:ascii="宋体" w:hAnsi="宋体" w:cs="宋体"/>
                <w:kern w:val="0"/>
                <w:szCs w:val="21"/>
              </w:rPr>
              <w:t>1.4 测量精度：MV精度 0.03MV ，pH 精度 0.002PH；电压误差±2mv；极化电流误差±2%FS</w:t>
            </w:r>
          </w:p>
          <w:p w14:paraId="11FCEFB0">
            <w:pPr>
              <w:widowControl/>
              <w:jc w:val="left"/>
              <w:rPr>
                <w:rFonts w:ascii="宋体" w:hAnsi="宋体" w:cs="宋体"/>
                <w:kern w:val="0"/>
                <w:szCs w:val="21"/>
              </w:rPr>
            </w:pPr>
            <w:r>
              <w:rPr>
                <w:rFonts w:hint="eastAsia" w:ascii="宋体" w:hAnsi="宋体" w:cs="宋体"/>
                <w:kern w:val="0"/>
                <w:szCs w:val="21"/>
              </w:rPr>
              <w:t>1.5 温度测温范围：-20～135℃；</w:t>
            </w:r>
          </w:p>
          <w:p w14:paraId="4DBCBD98">
            <w:pPr>
              <w:widowControl/>
              <w:jc w:val="left"/>
              <w:rPr>
                <w:rFonts w:ascii="宋体" w:hAnsi="宋体" w:cs="宋体"/>
                <w:kern w:val="0"/>
                <w:szCs w:val="21"/>
              </w:rPr>
            </w:pPr>
            <w:r>
              <w:rPr>
                <w:rFonts w:hint="eastAsia" w:ascii="宋体" w:hAnsi="宋体" w:cs="宋体"/>
                <w:kern w:val="0"/>
                <w:szCs w:val="21"/>
              </w:rPr>
              <w:t>1.6 温度测量分辨率：±0.01℃；</w:t>
            </w:r>
          </w:p>
          <w:p w14:paraId="4EC2BD6B">
            <w:pPr>
              <w:widowControl/>
              <w:jc w:val="left"/>
              <w:rPr>
                <w:rFonts w:ascii="宋体" w:hAnsi="宋体" w:cs="宋体"/>
                <w:kern w:val="0"/>
                <w:szCs w:val="21"/>
              </w:rPr>
            </w:pPr>
            <w:r>
              <w:rPr>
                <w:rFonts w:hint="eastAsia" w:ascii="宋体" w:hAnsi="宋体" w:cs="宋体"/>
                <w:kern w:val="0"/>
                <w:szCs w:val="21"/>
              </w:rPr>
              <w:t>1.7 滴定体积精度：0.0001ML</w:t>
            </w:r>
          </w:p>
          <w:p w14:paraId="3A9BCBF9">
            <w:pPr>
              <w:widowControl/>
              <w:jc w:val="left"/>
              <w:rPr>
                <w:rFonts w:ascii="宋体" w:hAnsi="宋体" w:cs="宋体"/>
                <w:kern w:val="0"/>
                <w:szCs w:val="21"/>
              </w:rPr>
            </w:pPr>
            <w:r>
              <w:rPr>
                <w:rFonts w:hint="eastAsia" w:ascii="宋体" w:hAnsi="宋体" w:cs="宋体"/>
                <w:kern w:val="0"/>
                <w:szCs w:val="21"/>
              </w:rPr>
              <w:t>1.8 测量终点结果可选择对应不同公式换算，支持数据管理，确保结果精准度；</w:t>
            </w:r>
          </w:p>
          <w:p w14:paraId="5FBDB51F">
            <w:pPr>
              <w:widowControl/>
              <w:jc w:val="left"/>
              <w:rPr>
                <w:rFonts w:ascii="宋体" w:hAnsi="宋体" w:cs="宋体"/>
                <w:kern w:val="0"/>
                <w:szCs w:val="21"/>
              </w:rPr>
            </w:pPr>
            <w:r>
              <w:rPr>
                <w:rFonts w:hint="eastAsia" w:ascii="宋体" w:hAnsi="宋体" w:cs="宋体"/>
                <w:kern w:val="0"/>
                <w:szCs w:val="21"/>
              </w:rPr>
              <w:t>1.9  10英寸安卓系统控制触摸屏；</w:t>
            </w:r>
          </w:p>
          <w:p w14:paraId="359BE46B">
            <w:pPr>
              <w:widowControl/>
              <w:jc w:val="left"/>
              <w:rPr>
                <w:rFonts w:ascii="宋体" w:hAnsi="宋体" w:cs="宋体"/>
                <w:kern w:val="0"/>
                <w:szCs w:val="21"/>
              </w:rPr>
            </w:pPr>
            <w:r>
              <w:rPr>
                <w:rFonts w:hint="eastAsia" w:ascii="宋体" w:hAnsi="宋体" w:cs="宋体"/>
                <w:kern w:val="0"/>
                <w:szCs w:val="21"/>
              </w:rPr>
              <w:t>1.10 样品测试过程中，根据需要可自动调换样品顺序；</w:t>
            </w:r>
          </w:p>
          <w:p w14:paraId="5A760241">
            <w:pPr>
              <w:widowControl/>
              <w:jc w:val="left"/>
              <w:rPr>
                <w:rFonts w:ascii="宋体" w:hAnsi="宋体" w:cs="宋体"/>
                <w:kern w:val="0"/>
                <w:szCs w:val="21"/>
              </w:rPr>
            </w:pPr>
            <w:r>
              <w:rPr>
                <w:rFonts w:hint="eastAsia" w:ascii="宋体" w:hAnsi="宋体" w:cs="宋体"/>
                <w:kern w:val="0"/>
                <w:szCs w:val="21"/>
              </w:rPr>
              <w:t>1.11 自定义公式，公式自由编辑，公式自定义变量；</w:t>
            </w:r>
          </w:p>
          <w:p w14:paraId="540907F3">
            <w:pPr>
              <w:widowControl/>
              <w:jc w:val="left"/>
              <w:rPr>
                <w:rFonts w:ascii="宋体" w:hAnsi="宋体" w:cs="宋体"/>
                <w:kern w:val="0"/>
                <w:szCs w:val="21"/>
              </w:rPr>
            </w:pPr>
            <w:r>
              <w:rPr>
                <w:rFonts w:hint="eastAsia" w:ascii="宋体" w:hAnsi="宋体" w:cs="宋体"/>
                <w:kern w:val="0"/>
                <w:szCs w:val="21"/>
              </w:rPr>
              <w:t>1.12 通道滴定模块，连接独立16位进样器，20位进样器和34位和40位自动进样器；</w:t>
            </w:r>
          </w:p>
          <w:p w14:paraId="6626AB48">
            <w:pPr>
              <w:widowControl/>
              <w:jc w:val="left"/>
              <w:rPr>
                <w:rFonts w:ascii="宋体" w:hAnsi="宋体" w:cs="宋体"/>
                <w:kern w:val="0"/>
                <w:szCs w:val="21"/>
              </w:rPr>
            </w:pPr>
            <w:r>
              <w:rPr>
                <w:rFonts w:hint="eastAsia" w:ascii="宋体" w:hAnsi="宋体" w:cs="宋体"/>
                <w:kern w:val="0"/>
                <w:szCs w:val="21"/>
              </w:rPr>
              <w:t>1.13 可同时工作加液模块数量：1；</w:t>
            </w:r>
          </w:p>
          <w:p w14:paraId="6F0A5308">
            <w:pPr>
              <w:widowControl/>
              <w:jc w:val="left"/>
              <w:rPr>
                <w:rFonts w:ascii="宋体" w:hAnsi="宋体" w:cs="宋体"/>
                <w:kern w:val="0"/>
                <w:szCs w:val="21"/>
              </w:rPr>
            </w:pPr>
            <w:r>
              <w:rPr>
                <w:rFonts w:hint="eastAsia" w:ascii="宋体" w:hAnsi="宋体" w:cs="宋体"/>
                <w:kern w:val="0"/>
                <w:szCs w:val="21"/>
              </w:rPr>
              <w:t>1.14 可扩展8组加液通道，滴定管规格：10ml 可选配 5ml,20ml,50ml；</w:t>
            </w:r>
          </w:p>
          <w:p w14:paraId="5BAA7F6E">
            <w:pPr>
              <w:widowControl/>
              <w:jc w:val="left"/>
              <w:rPr>
                <w:rFonts w:ascii="宋体" w:hAnsi="宋体" w:cs="宋体"/>
                <w:kern w:val="0"/>
                <w:szCs w:val="21"/>
              </w:rPr>
            </w:pPr>
            <w:r>
              <w:rPr>
                <w:rFonts w:hint="eastAsia" w:ascii="宋体" w:hAnsi="宋体" w:cs="宋体"/>
                <w:kern w:val="0"/>
                <w:szCs w:val="21"/>
              </w:rPr>
              <w:t>1.15 滴定管的分辨率：1/5,00000；</w:t>
            </w:r>
          </w:p>
          <w:p w14:paraId="58538E7B">
            <w:pPr>
              <w:widowControl/>
              <w:jc w:val="left"/>
              <w:rPr>
                <w:rFonts w:ascii="宋体" w:hAnsi="宋体" w:cs="宋体"/>
                <w:kern w:val="0"/>
                <w:szCs w:val="21"/>
              </w:rPr>
            </w:pPr>
            <w:r>
              <w:rPr>
                <w:rFonts w:hint="eastAsia" w:ascii="宋体" w:hAnsi="宋体" w:cs="宋体"/>
                <w:kern w:val="0"/>
                <w:szCs w:val="21"/>
              </w:rPr>
              <w:t>1.16 滴定管补液时间：10 秒（100％充液速度）；</w:t>
            </w:r>
          </w:p>
          <w:p w14:paraId="69FFC31E">
            <w:pPr>
              <w:widowControl/>
              <w:jc w:val="left"/>
              <w:rPr>
                <w:rFonts w:ascii="宋体" w:hAnsi="宋体" w:cs="宋体"/>
                <w:kern w:val="0"/>
                <w:szCs w:val="21"/>
              </w:rPr>
            </w:pPr>
            <w:r>
              <w:rPr>
                <w:rFonts w:hint="eastAsia" w:ascii="宋体" w:hAnsi="宋体" w:cs="宋体"/>
                <w:kern w:val="0"/>
                <w:szCs w:val="21"/>
              </w:rPr>
              <w:t>★1.17 滴定模式：微量滴定、动态滴定、手动滴定、终点滴定、光度/颜色滴定、电导滴定、等量/动态滴定二阶微商法、永停滴定、恒pH滴定、离子浓度、连续pH/mV测量等测试功能；</w:t>
            </w:r>
          </w:p>
          <w:p w14:paraId="4B5B3520">
            <w:pPr>
              <w:widowControl/>
              <w:jc w:val="left"/>
              <w:rPr>
                <w:rFonts w:ascii="宋体" w:hAnsi="宋体" w:cs="宋体"/>
                <w:kern w:val="0"/>
                <w:szCs w:val="21"/>
              </w:rPr>
            </w:pPr>
            <w:r>
              <w:rPr>
                <w:rFonts w:hint="eastAsia" w:ascii="宋体" w:hAnsi="宋体" w:cs="宋体"/>
                <w:kern w:val="0"/>
                <w:szCs w:val="21"/>
              </w:rPr>
              <w:t>★1.18 滴定图谱可以鼠标滚轮任意放大缩小，方便看清图谱曲线细节，PDF和Excel表格可以自动导出无需人为导出，提高效率；</w:t>
            </w:r>
          </w:p>
          <w:p w14:paraId="3C288FEE">
            <w:pPr>
              <w:widowControl/>
              <w:jc w:val="left"/>
              <w:rPr>
                <w:rFonts w:ascii="宋体" w:hAnsi="宋体" w:cs="宋体"/>
                <w:kern w:val="0"/>
                <w:szCs w:val="21"/>
              </w:rPr>
            </w:pPr>
            <w:r>
              <w:rPr>
                <w:rFonts w:hint="eastAsia" w:ascii="宋体" w:hAnsi="宋体" w:cs="宋体"/>
                <w:kern w:val="0"/>
                <w:szCs w:val="21"/>
              </w:rPr>
              <w:t>1.19 支持天平数据传输功能，可快速复制天平称量数据到样品信息位；</w:t>
            </w:r>
          </w:p>
          <w:p w14:paraId="2E995F61">
            <w:pPr>
              <w:widowControl/>
              <w:jc w:val="left"/>
              <w:rPr>
                <w:rFonts w:ascii="宋体" w:hAnsi="宋体" w:cs="宋体"/>
                <w:kern w:val="0"/>
                <w:szCs w:val="21"/>
              </w:rPr>
            </w:pPr>
            <w:r>
              <w:rPr>
                <w:rFonts w:hint="eastAsia" w:ascii="宋体" w:hAnsi="宋体" w:cs="宋体"/>
                <w:kern w:val="0"/>
                <w:szCs w:val="21"/>
              </w:rPr>
              <w:t>1.20 支持LIMS系统接口：支持LIMS 系统分析结果数据可以上传</w:t>
            </w:r>
          </w:p>
          <w:p w14:paraId="1D9D4ED5">
            <w:pPr>
              <w:widowControl/>
              <w:jc w:val="left"/>
              <w:rPr>
                <w:rFonts w:ascii="宋体" w:hAnsi="宋体" w:cs="宋体"/>
                <w:kern w:val="0"/>
                <w:szCs w:val="21"/>
              </w:rPr>
            </w:pPr>
            <w:r>
              <w:rPr>
                <w:rFonts w:hint="eastAsia" w:ascii="宋体" w:hAnsi="宋体" w:cs="宋体"/>
                <w:kern w:val="0"/>
                <w:szCs w:val="21"/>
              </w:rPr>
              <w:t>1.21 符合 FDA、GLP、GMP、AOAC 规范,具备审计追踪及三级以上分级管理系统具备防篡改功能及电子签名；</w:t>
            </w:r>
          </w:p>
          <w:p w14:paraId="178457AC">
            <w:pPr>
              <w:widowControl/>
              <w:jc w:val="left"/>
              <w:rPr>
                <w:rFonts w:ascii="宋体" w:hAnsi="宋体" w:cs="宋体"/>
                <w:kern w:val="0"/>
                <w:szCs w:val="21"/>
              </w:rPr>
            </w:pPr>
            <w:r>
              <w:rPr>
                <w:rFonts w:hint="eastAsia" w:ascii="宋体" w:hAnsi="宋体" w:cs="宋体"/>
                <w:kern w:val="0"/>
                <w:szCs w:val="21"/>
              </w:rPr>
              <w:t xml:space="preserve">1.22 审计追踪详细记录新建用户，开始滴定时间，结算滴定时间，调用方法时间，新建 编辑方法时间，电极标定时间，滴定管系数标定操作时间等有追溯； </w:t>
            </w:r>
          </w:p>
          <w:p w14:paraId="31FC4FCC">
            <w:pPr>
              <w:widowControl/>
              <w:jc w:val="left"/>
              <w:rPr>
                <w:rFonts w:ascii="宋体" w:hAnsi="宋体" w:cs="宋体"/>
                <w:kern w:val="0"/>
                <w:szCs w:val="21"/>
              </w:rPr>
            </w:pPr>
            <w:r>
              <w:rPr>
                <w:rFonts w:hint="eastAsia" w:ascii="宋体" w:hAnsi="宋体" w:cs="宋体"/>
                <w:kern w:val="0"/>
                <w:szCs w:val="21"/>
              </w:rPr>
              <w:t>1.23 具备密码老化功能，每个账户可设定密码有效期，到期后强制要求更改密码后才可登录仪器，具备密码复杂程度设定功能，可根据需求设置密码复杂程度。</w:t>
            </w:r>
          </w:p>
          <w:p w14:paraId="771A87C4">
            <w:pPr>
              <w:widowControl/>
              <w:jc w:val="left"/>
              <w:rPr>
                <w:rFonts w:ascii="宋体" w:hAnsi="宋体" w:cs="宋体"/>
                <w:kern w:val="0"/>
                <w:szCs w:val="21"/>
              </w:rPr>
            </w:pPr>
            <w:r>
              <w:rPr>
                <w:rFonts w:hint="eastAsia" w:ascii="宋体" w:hAnsi="宋体" w:cs="宋体"/>
                <w:kern w:val="0"/>
                <w:szCs w:val="21"/>
              </w:rPr>
              <w:t>1.24 电极接口类型：永停滴定接口，mv/pH 测量电极接口，参比电极接口，PT1000 温度电极接口；光度电极接口，电导接口；</w:t>
            </w:r>
          </w:p>
          <w:p w14:paraId="1ACB311D">
            <w:pPr>
              <w:widowControl/>
              <w:jc w:val="left"/>
              <w:rPr>
                <w:rFonts w:ascii="宋体" w:hAnsi="宋体" w:cs="宋体"/>
                <w:kern w:val="0"/>
                <w:szCs w:val="21"/>
              </w:rPr>
            </w:pPr>
            <w:r>
              <w:rPr>
                <w:rFonts w:hint="eastAsia" w:ascii="宋体" w:hAnsi="宋体" w:cs="宋体"/>
                <w:kern w:val="0"/>
                <w:szCs w:val="21"/>
              </w:rPr>
              <w:t>1.25 软件支持16/20/34/40工位四种转盘选择切换；同时支持样品杯选择切换100ml/150ml/200ml/250ml，全自动进行多任务操作，全过程无需人员监控 ，提高工作效率 ；</w:t>
            </w:r>
          </w:p>
          <w:p w14:paraId="48BDB921">
            <w:pPr>
              <w:widowControl/>
              <w:jc w:val="left"/>
              <w:rPr>
                <w:rFonts w:ascii="宋体" w:hAnsi="宋体" w:cs="宋体"/>
                <w:kern w:val="0"/>
                <w:szCs w:val="21"/>
              </w:rPr>
            </w:pPr>
            <w:r>
              <w:rPr>
                <w:rFonts w:hint="eastAsia" w:ascii="宋体" w:hAnsi="宋体" w:cs="宋体"/>
                <w:kern w:val="0"/>
                <w:szCs w:val="21"/>
              </w:rPr>
              <w:t>1.26 支持 RFID 样品信息读取功能，可识别样品信息，减少称量与测试不同人造成的信息传递错误，也可支持扫码枪进行样品信息快速录入</w:t>
            </w:r>
          </w:p>
          <w:p w14:paraId="03EE4464">
            <w:pPr>
              <w:widowControl/>
              <w:jc w:val="left"/>
              <w:rPr>
                <w:rFonts w:ascii="宋体" w:hAnsi="宋体" w:cs="宋体"/>
                <w:kern w:val="0"/>
                <w:szCs w:val="21"/>
              </w:rPr>
            </w:pPr>
            <w:r>
              <w:rPr>
                <w:rFonts w:hint="eastAsia" w:ascii="宋体" w:hAnsi="宋体" w:cs="宋体"/>
                <w:kern w:val="0"/>
                <w:szCs w:val="21"/>
              </w:rPr>
              <w:t>1.27 软件支持自动揭盖器模块选择，可在测试前自动拿起盖子测试后盖回盖子，减少空气与样品的交互反应，减少样品挥发的气味影响；</w:t>
            </w:r>
          </w:p>
          <w:p w14:paraId="439D9E97">
            <w:pPr>
              <w:widowControl/>
              <w:jc w:val="left"/>
              <w:rPr>
                <w:rFonts w:ascii="宋体" w:hAnsi="宋体" w:cs="宋体"/>
                <w:kern w:val="0"/>
                <w:szCs w:val="21"/>
              </w:rPr>
            </w:pPr>
            <w:r>
              <w:rPr>
                <w:rFonts w:hint="eastAsia" w:ascii="宋体" w:hAnsi="宋体" w:cs="宋体"/>
                <w:kern w:val="0"/>
                <w:szCs w:val="21"/>
              </w:rPr>
              <w:t>1.28 通讯方式：2 个 USB、232 串口、以太网，具有网络 CAN 总线通讯功能；</w:t>
            </w:r>
          </w:p>
          <w:p w14:paraId="46978992">
            <w:pPr>
              <w:widowControl/>
              <w:jc w:val="left"/>
              <w:rPr>
                <w:rFonts w:ascii="宋体" w:hAnsi="宋体" w:cs="宋体"/>
                <w:kern w:val="0"/>
                <w:szCs w:val="21"/>
              </w:rPr>
            </w:pPr>
            <w:r>
              <w:rPr>
                <w:rFonts w:hint="eastAsia" w:ascii="宋体" w:hAnsi="宋体" w:cs="宋体"/>
                <w:kern w:val="0"/>
                <w:szCs w:val="21"/>
              </w:rPr>
              <w:t>1.29 内置式加液单元，上顶式玻璃杯螺旋密封和螺旋桨搅拌器可正反双向20档搅拌控制；</w:t>
            </w:r>
          </w:p>
          <w:p w14:paraId="6A347D6F">
            <w:pPr>
              <w:widowControl/>
              <w:jc w:val="left"/>
              <w:rPr>
                <w:rFonts w:ascii="宋体" w:hAnsi="宋体" w:cs="宋体"/>
                <w:kern w:val="0"/>
                <w:szCs w:val="21"/>
              </w:rPr>
            </w:pPr>
            <w:r>
              <w:rPr>
                <w:rFonts w:hint="eastAsia" w:ascii="宋体" w:hAnsi="宋体" w:cs="宋体"/>
                <w:kern w:val="0"/>
                <w:szCs w:val="21"/>
              </w:rPr>
              <w:t>2、售后服务：</w:t>
            </w:r>
          </w:p>
          <w:p w14:paraId="06B2746A">
            <w:pPr>
              <w:widowControl/>
              <w:jc w:val="left"/>
              <w:rPr>
                <w:rFonts w:ascii="宋体" w:hAnsi="宋体" w:cs="宋体"/>
                <w:kern w:val="0"/>
                <w:szCs w:val="21"/>
              </w:rPr>
            </w:pPr>
            <w:r>
              <w:rPr>
                <w:rFonts w:hint="eastAsia" w:ascii="宋体" w:hAnsi="宋体" w:cs="宋体"/>
                <w:kern w:val="0"/>
                <w:szCs w:val="21"/>
              </w:rPr>
              <w:t>2.1 质保期：质量保证期一年，终身维修；</w:t>
            </w:r>
          </w:p>
          <w:p w14:paraId="1D62C0A4">
            <w:pPr>
              <w:widowControl/>
              <w:jc w:val="left"/>
              <w:rPr>
                <w:rFonts w:ascii="宋体" w:hAnsi="宋体" w:cs="宋体"/>
                <w:kern w:val="0"/>
                <w:szCs w:val="21"/>
              </w:rPr>
            </w:pPr>
            <w:r>
              <w:rPr>
                <w:rFonts w:hint="eastAsia" w:ascii="宋体" w:hAnsi="宋体" w:cs="宋体"/>
                <w:kern w:val="0"/>
                <w:szCs w:val="21"/>
              </w:rPr>
              <w:t>2.2 故障服务：仪器设备出现故障时，2 小时内响应，24 小2.3 时提供服务， 48 小时内提供解决方案。</w:t>
            </w:r>
          </w:p>
          <w:p w14:paraId="52AB4FBA">
            <w:pPr>
              <w:widowControl/>
              <w:jc w:val="left"/>
              <w:rPr>
                <w:rFonts w:ascii="宋体" w:hAnsi="宋体" w:cs="宋体"/>
                <w:kern w:val="0"/>
                <w:szCs w:val="21"/>
              </w:rPr>
            </w:pPr>
            <w:r>
              <w:rPr>
                <w:rFonts w:hint="eastAsia" w:ascii="宋体" w:hAnsi="宋体" w:cs="宋体"/>
                <w:kern w:val="0"/>
                <w:szCs w:val="21"/>
              </w:rPr>
              <w:t>2.4 主要产品需提供生产厂家针对本项目的授权函及售后服务承诺函原件。</w:t>
            </w:r>
          </w:p>
        </w:tc>
      </w:tr>
      <w:tr w14:paraId="46BA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8ACE3AA">
            <w:pPr>
              <w:numPr>
                <w:ilvl w:val="0"/>
                <w:numId w:val="2"/>
              </w:numPr>
              <w:ind w:left="0" w:firstLine="0"/>
              <w:jc w:val="center"/>
              <w:rPr>
                <w:rFonts w:ascii="宋体" w:hAnsi="宋体" w:cs="宋体"/>
                <w:szCs w:val="21"/>
              </w:rPr>
            </w:pPr>
          </w:p>
        </w:tc>
        <w:tc>
          <w:tcPr>
            <w:tcW w:w="1276" w:type="dxa"/>
            <w:vAlign w:val="center"/>
          </w:tcPr>
          <w:p w14:paraId="2AC68CA4">
            <w:pPr>
              <w:jc w:val="center"/>
              <w:rPr>
                <w:rFonts w:ascii="宋体" w:hAnsi="宋体" w:cs="宋体"/>
                <w:szCs w:val="21"/>
              </w:rPr>
            </w:pPr>
            <w:r>
              <w:rPr>
                <w:rFonts w:hint="eastAsia" w:ascii="宋体" w:hAnsi="宋体" w:cs="宋体"/>
                <w:szCs w:val="21"/>
              </w:rPr>
              <w:t>数字瓶口滴定器</w:t>
            </w:r>
          </w:p>
        </w:tc>
        <w:tc>
          <w:tcPr>
            <w:tcW w:w="709" w:type="dxa"/>
            <w:vAlign w:val="center"/>
          </w:tcPr>
          <w:p w14:paraId="5C50A8FD">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2AF570A5">
            <w:pPr>
              <w:jc w:val="center"/>
              <w:rPr>
                <w:rFonts w:ascii="宋体" w:hAnsi="宋体" w:cs="宋体"/>
                <w:iCs/>
                <w:szCs w:val="21"/>
              </w:rPr>
            </w:pPr>
            <w:r>
              <w:rPr>
                <w:rFonts w:hint="eastAsia" w:ascii="宋体" w:hAnsi="宋体" w:cs="宋体"/>
                <w:iCs/>
                <w:szCs w:val="21"/>
              </w:rPr>
              <w:t>个</w:t>
            </w:r>
          </w:p>
        </w:tc>
        <w:tc>
          <w:tcPr>
            <w:tcW w:w="5611" w:type="dxa"/>
            <w:vAlign w:val="center"/>
          </w:tcPr>
          <w:p w14:paraId="1B873651">
            <w:pPr>
              <w:rPr>
                <w:rFonts w:ascii="宋体" w:hAnsi="宋体" w:cs="宋体"/>
                <w:szCs w:val="21"/>
              </w:rPr>
            </w:pPr>
            <w:r>
              <w:rPr>
                <w:rFonts w:hint="eastAsia" w:ascii="宋体" w:hAnsi="宋体" w:cs="宋体"/>
                <w:szCs w:val="21"/>
              </w:rPr>
              <w:t>1、体积：50ml；</w:t>
            </w:r>
          </w:p>
          <w:p w14:paraId="78762E78">
            <w:pPr>
              <w:rPr>
                <w:rFonts w:ascii="宋体" w:hAnsi="宋体" w:cs="宋体"/>
                <w:szCs w:val="21"/>
              </w:rPr>
            </w:pPr>
            <w:r>
              <w:rPr>
                <w:rFonts w:hint="eastAsia" w:ascii="宋体" w:hAnsi="宋体" w:cs="宋体"/>
                <w:szCs w:val="21"/>
              </w:rPr>
              <w:t>2、精确度%：±0.06%；</w:t>
            </w:r>
          </w:p>
          <w:p w14:paraId="63235491">
            <w:pPr>
              <w:rPr>
                <w:rFonts w:ascii="宋体" w:hAnsi="宋体" w:cs="宋体"/>
                <w:szCs w:val="21"/>
              </w:rPr>
            </w:pPr>
            <w:r>
              <w:rPr>
                <w:rFonts w:hint="eastAsia" w:ascii="宋体" w:hAnsi="宋体" w:cs="宋体"/>
                <w:szCs w:val="21"/>
              </w:rPr>
              <w:t>3、精确ul：±30ul;</w:t>
            </w:r>
          </w:p>
          <w:p w14:paraId="201B9D98">
            <w:pPr>
              <w:rPr>
                <w:rFonts w:ascii="宋体" w:hAnsi="宋体" w:cs="宋体"/>
                <w:szCs w:val="21"/>
              </w:rPr>
            </w:pPr>
            <w:r>
              <w:rPr>
                <w:rFonts w:hint="eastAsia" w:ascii="宋体" w:hAnsi="宋体" w:cs="宋体"/>
                <w:szCs w:val="21"/>
              </w:rPr>
              <w:t>4、偏差%：0.02%；</w:t>
            </w:r>
          </w:p>
          <w:p w14:paraId="70D55118">
            <w:pPr>
              <w:rPr>
                <w:rFonts w:ascii="宋体" w:hAnsi="宋体" w:cs="宋体"/>
                <w:szCs w:val="21"/>
              </w:rPr>
            </w:pPr>
            <w:r>
              <w:rPr>
                <w:rFonts w:hint="eastAsia" w:ascii="宋体" w:hAnsi="宋体" w:cs="宋体"/>
                <w:szCs w:val="21"/>
              </w:rPr>
              <w:t>5、偏差（ul）：10ul</w:t>
            </w:r>
          </w:p>
        </w:tc>
      </w:tr>
      <w:tr w14:paraId="2B82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984D915">
            <w:pPr>
              <w:numPr>
                <w:ilvl w:val="0"/>
                <w:numId w:val="2"/>
              </w:numPr>
              <w:ind w:left="0" w:firstLine="0"/>
              <w:jc w:val="center"/>
              <w:rPr>
                <w:rFonts w:ascii="宋体" w:hAnsi="宋体" w:cs="宋体"/>
                <w:szCs w:val="21"/>
              </w:rPr>
            </w:pPr>
          </w:p>
        </w:tc>
        <w:tc>
          <w:tcPr>
            <w:tcW w:w="1276" w:type="dxa"/>
            <w:vAlign w:val="center"/>
          </w:tcPr>
          <w:p w14:paraId="17D936AD">
            <w:pPr>
              <w:widowControl/>
              <w:jc w:val="center"/>
              <w:rPr>
                <w:rFonts w:ascii="宋体" w:hAnsi="宋体" w:cs="宋体"/>
                <w:kern w:val="0"/>
                <w:szCs w:val="21"/>
              </w:rPr>
            </w:pPr>
            <w:r>
              <w:rPr>
                <w:rFonts w:hint="eastAsia" w:ascii="宋体" w:hAnsi="宋体" w:cs="宋体"/>
                <w:szCs w:val="21"/>
              </w:rPr>
              <w:t>气压传感器</w:t>
            </w:r>
          </w:p>
        </w:tc>
        <w:tc>
          <w:tcPr>
            <w:tcW w:w="709" w:type="dxa"/>
            <w:vAlign w:val="center"/>
          </w:tcPr>
          <w:p w14:paraId="21186524">
            <w:pPr>
              <w:widowControl/>
              <w:jc w:val="center"/>
              <w:textAlignment w:val="center"/>
              <w:rPr>
                <w:rFonts w:ascii="宋体" w:hAnsi="宋体" w:cs="宋体"/>
                <w:kern w:val="0"/>
                <w:szCs w:val="21"/>
              </w:rPr>
            </w:pPr>
            <w:r>
              <w:rPr>
                <w:rFonts w:hint="eastAsia" w:ascii="宋体" w:hAnsi="宋体" w:cs="宋体"/>
                <w:color w:val="000000"/>
                <w:kern w:val="0"/>
                <w:szCs w:val="21"/>
                <w:lang w:bidi="ar"/>
              </w:rPr>
              <w:t>2</w:t>
            </w:r>
          </w:p>
        </w:tc>
        <w:tc>
          <w:tcPr>
            <w:tcW w:w="709" w:type="dxa"/>
            <w:vAlign w:val="center"/>
          </w:tcPr>
          <w:p w14:paraId="3013C8E1">
            <w:pPr>
              <w:widowControl/>
              <w:jc w:val="center"/>
              <w:rPr>
                <w:rFonts w:ascii="宋体" w:hAnsi="宋体" w:cs="宋体"/>
                <w:kern w:val="0"/>
                <w:szCs w:val="21"/>
              </w:rPr>
            </w:pPr>
            <w:r>
              <w:rPr>
                <w:rFonts w:hint="eastAsia" w:ascii="宋体" w:hAnsi="宋体" w:cs="宋体"/>
                <w:szCs w:val="21"/>
              </w:rPr>
              <w:t>个</w:t>
            </w:r>
          </w:p>
        </w:tc>
        <w:tc>
          <w:tcPr>
            <w:tcW w:w="5611" w:type="dxa"/>
            <w:vAlign w:val="center"/>
          </w:tcPr>
          <w:p w14:paraId="0E2EE1E5">
            <w:pPr>
              <w:rPr>
                <w:rFonts w:ascii="宋体" w:hAnsi="宋体" w:cs="宋体"/>
                <w:szCs w:val="21"/>
              </w:rPr>
            </w:pPr>
            <w:r>
              <w:rPr>
                <w:rFonts w:hint="eastAsia" w:ascii="宋体" w:hAnsi="宋体" w:cs="宋体"/>
                <w:szCs w:val="21"/>
              </w:rPr>
              <w:t>1、测量范围：0～700 kPa</w:t>
            </w:r>
          </w:p>
          <w:p w14:paraId="4AA21351">
            <w:pPr>
              <w:rPr>
                <w:rFonts w:ascii="宋体" w:hAnsi="宋体" w:cs="宋体"/>
                <w:szCs w:val="21"/>
              </w:rPr>
            </w:pPr>
            <w:r>
              <w:rPr>
                <w:rFonts w:hint="eastAsia" w:ascii="宋体" w:hAnsi="宋体" w:cs="宋体"/>
                <w:szCs w:val="21"/>
              </w:rPr>
              <w:t>2、连接方式：蓝牙/USB</w:t>
            </w:r>
          </w:p>
          <w:p w14:paraId="01EC4D81">
            <w:pPr>
              <w:rPr>
                <w:rFonts w:ascii="宋体" w:hAnsi="宋体" w:cs="宋体"/>
                <w:szCs w:val="21"/>
              </w:rPr>
            </w:pPr>
            <w:r>
              <w:rPr>
                <w:rFonts w:hint="eastAsia" w:ascii="宋体" w:hAnsi="宋体" w:cs="宋体"/>
                <w:szCs w:val="21"/>
              </w:rPr>
              <w:t>3、测量精度：±2%FS</w:t>
            </w:r>
          </w:p>
          <w:p w14:paraId="00635F32">
            <w:pPr>
              <w:rPr>
                <w:rFonts w:ascii="宋体" w:hAnsi="宋体" w:cs="宋体"/>
                <w:szCs w:val="21"/>
              </w:rPr>
            </w:pPr>
            <w:r>
              <w:rPr>
                <w:rFonts w:hint="eastAsia" w:ascii="宋体" w:hAnsi="宋体" w:cs="宋体"/>
                <w:szCs w:val="21"/>
              </w:rPr>
              <w:t>4、分辨率：0.1kPa</w:t>
            </w:r>
          </w:p>
          <w:p w14:paraId="0F4B8F64">
            <w:pPr>
              <w:rPr>
                <w:rFonts w:ascii="宋体" w:hAnsi="宋体" w:cs="宋体"/>
                <w:szCs w:val="21"/>
              </w:rPr>
            </w:pPr>
            <w:r>
              <w:rPr>
                <w:rFonts w:hint="eastAsia" w:ascii="宋体" w:hAnsi="宋体" w:cs="宋体"/>
                <w:szCs w:val="21"/>
              </w:rPr>
              <w:t>5、采样速率：≥500次/秒</w:t>
            </w:r>
          </w:p>
          <w:p w14:paraId="3611BC8C">
            <w:pPr>
              <w:rPr>
                <w:rFonts w:ascii="宋体" w:hAnsi="宋体" w:cs="宋体"/>
                <w:szCs w:val="21"/>
              </w:rPr>
            </w:pPr>
            <w:r>
              <w:rPr>
                <w:rFonts w:hint="eastAsia" w:ascii="宋体" w:hAnsi="宋体" w:cs="宋体"/>
                <w:szCs w:val="21"/>
              </w:rPr>
              <w:t>6、适用系统：Windows / Android</w:t>
            </w:r>
          </w:p>
        </w:tc>
      </w:tr>
      <w:tr w14:paraId="784F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9DB8DA2">
            <w:pPr>
              <w:numPr>
                <w:ilvl w:val="0"/>
                <w:numId w:val="2"/>
              </w:numPr>
              <w:ind w:left="0" w:firstLine="0"/>
              <w:jc w:val="center"/>
              <w:rPr>
                <w:rFonts w:ascii="宋体" w:hAnsi="宋体" w:cs="宋体"/>
                <w:szCs w:val="21"/>
              </w:rPr>
            </w:pPr>
          </w:p>
        </w:tc>
        <w:tc>
          <w:tcPr>
            <w:tcW w:w="1276" w:type="dxa"/>
            <w:vAlign w:val="center"/>
          </w:tcPr>
          <w:p w14:paraId="7132D618">
            <w:pPr>
              <w:jc w:val="center"/>
              <w:rPr>
                <w:rFonts w:ascii="宋体" w:hAnsi="宋体" w:cs="宋体"/>
                <w:szCs w:val="21"/>
              </w:rPr>
            </w:pPr>
            <w:r>
              <w:rPr>
                <w:rFonts w:hint="eastAsia" w:ascii="宋体" w:hAnsi="宋体" w:cs="宋体"/>
                <w:szCs w:val="21"/>
              </w:rPr>
              <w:t>电导率传感器</w:t>
            </w:r>
          </w:p>
        </w:tc>
        <w:tc>
          <w:tcPr>
            <w:tcW w:w="709" w:type="dxa"/>
            <w:vAlign w:val="center"/>
          </w:tcPr>
          <w:p w14:paraId="23336160">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28D75A9A">
            <w:pPr>
              <w:jc w:val="center"/>
              <w:rPr>
                <w:rFonts w:ascii="宋体" w:hAnsi="宋体" w:cs="宋体"/>
                <w:szCs w:val="21"/>
              </w:rPr>
            </w:pPr>
            <w:r>
              <w:rPr>
                <w:rFonts w:hint="eastAsia" w:ascii="宋体" w:hAnsi="宋体" w:cs="宋体"/>
                <w:szCs w:val="21"/>
              </w:rPr>
              <w:t>个</w:t>
            </w:r>
          </w:p>
        </w:tc>
        <w:tc>
          <w:tcPr>
            <w:tcW w:w="5611" w:type="dxa"/>
            <w:vAlign w:val="center"/>
          </w:tcPr>
          <w:p w14:paraId="070A3118">
            <w:pPr>
              <w:rPr>
                <w:rFonts w:ascii="宋体" w:hAnsi="宋体" w:cs="宋体"/>
                <w:szCs w:val="21"/>
              </w:rPr>
            </w:pPr>
            <w:r>
              <w:rPr>
                <w:rFonts w:hint="eastAsia" w:ascii="宋体" w:hAnsi="宋体" w:cs="宋体"/>
                <w:szCs w:val="21"/>
              </w:rPr>
              <w:t>1、测量范围：0~20000 μS/cm</w:t>
            </w:r>
          </w:p>
          <w:p w14:paraId="65640301">
            <w:pPr>
              <w:rPr>
                <w:rFonts w:ascii="宋体" w:hAnsi="宋体" w:cs="宋体"/>
                <w:szCs w:val="21"/>
              </w:rPr>
            </w:pPr>
            <w:r>
              <w:rPr>
                <w:rFonts w:hint="eastAsia" w:ascii="宋体" w:hAnsi="宋体" w:cs="宋体"/>
                <w:szCs w:val="21"/>
              </w:rPr>
              <w:t>2、测量精度:±2%FS</w:t>
            </w:r>
          </w:p>
          <w:p w14:paraId="52A865F0">
            <w:pPr>
              <w:rPr>
                <w:rFonts w:ascii="宋体" w:hAnsi="宋体" w:cs="宋体"/>
                <w:szCs w:val="21"/>
              </w:rPr>
            </w:pPr>
            <w:r>
              <w:rPr>
                <w:rFonts w:hint="eastAsia" w:ascii="宋体" w:hAnsi="宋体" w:cs="宋体"/>
                <w:szCs w:val="21"/>
              </w:rPr>
              <w:t>3、分辨率:10uS/cm</w:t>
            </w:r>
          </w:p>
          <w:p w14:paraId="20FD1576">
            <w:pPr>
              <w:rPr>
                <w:rFonts w:ascii="宋体" w:hAnsi="宋体" w:cs="宋体"/>
                <w:szCs w:val="21"/>
              </w:rPr>
            </w:pPr>
            <w:r>
              <w:rPr>
                <w:rFonts w:hint="eastAsia" w:ascii="宋体" w:hAnsi="宋体" w:cs="宋体"/>
                <w:szCs w:val="21"/>
              </w:rPr>
              <w:t>4、采样速率:≥10次/秒</w:t>
            </w:r>
          </w:p>
          <w:p w14:paraId="3F87FBA6">
            <w:pPr>
              <w:rPr>
                <w:rFonts w:ascii="宋体" w:hAnsi="宋体" w:cs="宋体"/>
                <w:szCs w:val="21"/>
              </w:rPr>
            </w:pPr>
            <w:r>
              <w:rPr>
                <w:rFonts w:hint="eastAsia" w:ascii="宋体" w:hAnsi="宋体" w:cs="宋体"/>
                <w:szCs w:val="21"/>
              </w:rPr>
              <w:t>5、连接方式：蓝牙/USB</w:t>
            </w:r>
          </w:p>
          <w:p w14:paraId="1B66AA2C">
            <w:pPr>
              <w:rPr>
                <w:rFonts w:ascii="宋体" w:hAnsi="宋体" w:cs="宋体"/>
                <w:szCs w:val="21"/>
              </w:rPr>
            </w:pPr>
            <w:r>
              <w:rPr>
                <w:rFonts w:hint="eastAsia" w:ascii="宋体" w:hAnsi="宋体" w:cs="宋体"/>
                <w:szCs w:val="21"/>
              </w:rPr>
              <w:t>6、适配系统：Windows / Android</w:t>
            </w:r>
          </w:p>
        </w:tc>
      </w:tr>
      <w:tr w14:paraId="0004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C0A46D4">
            <w:pPr>
              <w:numPr>
                <w:ilvl w:val="0"/>
                <w:numId w:val="2"/>
              </w:numPr>
              <w:ind w:left="0" w:firstLine="0"/>
              <w:jc w:val="center"/>
              <w:rPr>
                <w:rFonts w:ascii="宋体" w:hAnsi="宋体" w:cs="宋体"/>
                <w:szCs w:val="21"/>
              </w:rPr>
            </w:pPr>
          </w:p>
        </w:tc>
        <w:tc>
          <w:tcPr>
            <w:tcW w:w="1276" w:type="dxa"/>
            <w:vAlign w:val="center"/>
          </w:tcPr>
          <w:p w14:paraId="796634FA">
            <w:pPr>
              <w:jc w:val="center"/>
              <w:rPr>
                <w:rFonts w:ascii="宋体" w:hAnsi="宋体" w:cs="宋体"/>
                <w:szCs w:val="21"/>
              </w:rPr>
            </w:pPr>
            <w:r>
              <w:rPr>
                <w:rFonts w:hint="eastAsia" w:ascii="宋体" w:hAnsi="宋体" w:cs="宋体"/>
                <w:szCs w:val="21"/>
              </w:rPr>
              <w:t>二氧化碳传感器</w:t>
            </w:r>
          </w:p>
        </w:tc>
        <w:tc>
          <w:tcPr>
            <w:tcW w:w="709" w:type="dxa"/>
            <w:vAlign w:val="center"/>
          </w:tcPr>
          <w:p w14:paraId="50C0ACA9">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006336EE">
            <w:pPr>
              <w:jc w:val="center"/>
              <w:rPr>
                <w:rFonts w:ascii="宋体" w:hAnsi="宋体" w:cs="宋体"/>
                <w:szCs w:val="21"/>
              </w:rPr>
            </w:pPr>
            <w:r>
              <w:rPr>
                <w:rFonts w:hint="eastAsia" w:ascii="宋体" w:hAnsi="宋体" w:cs="宋体"/>
                <w:szCs w:val="21"/>
              </w:rPr>
              <w:t>个</w:t>
            </w:r>
          </w:p>
        </w:tc>
        <w:tc>
          <w:tcPr>
            <w:tcW w:w="5611" w:type="dxa"/>
            <w:vAlign w:val="center"/>
          </w:tcPr>
          <w:p w14:paraId="314105B7">
            <w:pPr>
              <w:rPr>
                <w:rFonts w:ascii="宋体" w:hAnsi="宋体" w:cs="宋体"/>
                <w:szCs w:val="21"/>
              </w:rPr>
            </w:pPr>
            <w:r>
              <w:rPr>
                <w:rFonts w:hint="eastAsia" w:ascii="宋体" w:hAnsi="宋体" w:cs="宋体"/>
                <w:szCs w:val="21"/>
              </w:rPr>
              <w:t>1、测量范围：0~50,000 ppm</w:t>
            </w:r>
          </w:p>
          <w:p w14:paraId="1939A9F2">
            <w:pPr>
              <w:rPr>
                <w:rFonts w:ascii="宋体" w:hAnsi="宋体" w:cs="宋体"/>
                <w:szCs w:val="21"/>
              </w:rPr>
            </w:pPr>
            <w:r>
              <w:rPr>
                <w:rFonts w:hint="eastAsia" w:ascii="宋体" w:hAnsi="宋体" w:cs="宋体"/>
                <w:szCs w:val="21"/>
              </w:rPr>
              <w:t>2、采样速率：≥1次/秒</w:t>
            </w:r>
          </w:p>
          <w:p w14:paraId="1F3B2974">
            <w:pPr>
              <w:rPr>
                <w:rFonts w:ascii="宋体" w:hAnsi="宋体" w:cs="宋体"/>
                <w:szCs w:val="21"/>
              </w:rPr>
            </w:pPr>
            <w:r>
              <w:rPr>
                <w:rFonts w:hint="eastAsia" w:ascii="宋体" w:hAnsi="宋体" w:cs="宋体"/>
                <w:szCs w:val="21"/>
              </w:rPr>
              <w:t>3、测量精度：±2%FS</w:t>
            </w:r>
          </w:p>
          <w:p w14:paraId="5738192C">
            <w:pPr>
              <w:rPr>
                <w:rFonts w:ascii="宋体" w:hAnsi="宋体" w:cs="宋体"/>
                <w:szCs w:val="21"/>
              </w:rPr>
            </w:pPr>
            <w:r>
              <w:rPr>
                <w:rFonts w:hint="eastAsia" w:ascii="宋体" w:hAnsi="宋体" w:cs="宋体"/>
                <w:szCs w:val="21"/>
              </w:rPr>
              <w:t>4、分辨率：1 ppm</w:t>
            </w:r>
          </w:p>
          <w:p w14:paraId="174125E4">
            <w:pPr>
              <w:rPr>
                <w:rFonts w:ascii="宋体" w:hAnsi="宋体" w:cs="宋体"/>
                <w:szCs w:val="21"/>
              </w:rPr>
            </w:pPr>
            <w:r>
              <w:rPr>
                <w:rFonts w:hint="eastAsia" w:ascii="宋体" w:hAnsi="宋体" w:cs="宋体"/>
                <w:szCs w:val="21"/>
              </w:rPr>
              <w:t>5、连接方式：蓝牙/有线连接</w:t>
            </w:r>
          </w:p>
        </w:tc>
      </w:tr>
      <w:tr w14:paraId="1D7B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43D2A95">
            <w:pPr>
              <w:numPr>
                <w:ilvl w:val="0"/>
                <w:numId w:val="2"/>
              </w:numPr>
              <w:ind w:left="0" w:firstLine="0"/>
              <w:jc w:val="center"/>
              <w:rPr>
                <w:rFonts w:ascii="宋体" w:hAnsi="宋体" w:cs="宋体"/>
                <w:szCs w:val="21"/>
              </w:rPr>
            </w:pPr>
          </w:p>
        </w:tc>
        <w:tc>
          <w:tcPr>
            <w:tcW w:w="1276" w:type="dxa"/>
            <w:vAlign w:val="center"/>
          </w:tcPr>
          <w:p w14:paraId="10B591FB">
            <w:pPr>
              <w:jc w:val="center"/>
              <w:rPr>
                <w:rFonts w:ascii="宋体" w:hAnsi="宋体" w:cs="宋体"/>
                <w:szCs w:val="21"/>
              </w:rPr>
            </w:pPr>
            <w:r>
              <w:rPr>
                <w:rFonts w:hint="eastAsia" w:ascii="宋体" w:hAnsi="宋体" w:cs="宋体"/>
                <w:szCs w:val="21"/>
              </w:rPr>
              <w:t>pH传感器</w:t>
            </w:r>
          </w:p>
        </w:tc>
        <w:tc>
          <w:tcPr>
            <w:tcW w:w="709" w:type="dxa"/>
            <w:vAlign w:val="center"/>
          </w:tcPr>
          <w:p w14:paraId="11869CDC">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72532C65">
            <w:pPr>
              <w:jc w:val="center"/>
              <w:rPr>
                <w:rFonts w:ascii="宋体" w:hAnsi="宋体" w:cs="宋体"/>
                <w:szCs w:val="21"/>
              </w:rPr>
            </w:pPr>
            <w:r>
              <w:rPr>
                <w:rFonts w:hint="eastAsia" w:ascii="宋体" w:hAnsi="宋体" w:cs="宋体"/>
                <w:szCs w:val="21"/>
              </w:rPr>
              <w:t>个</w:t>
            </w:r>
          </w:p>
        </w:tc>
        <w:tc>
          <w:tcPr>
            <w:tcW w:w="5611" w:type="dxa"/>
            <w:vAlign w:val="center"/>
          </w:tcPr>
          <w:p w14:paraId="6DCEF3CF">
            <w:pPr>
              <w:rPr>
                <w:rFonts w:ascii="宋体" w:hAnsi="宋体" w:cs="宋体"/>
                <w:szCs w:val="21"/>
              </w:rPr>
            </w:pPr>
            <w:r>
              <w:rPr>
                <w:rFonts w:hint="eastAsia" w:ascii="宋体" w:hAnsi="宋体" w:cs="宋体"/>
                <w:szCs w:val="21"/>
              </w:rPr>
              <w:t>1、测量范围：0~14 pH</w:t>
            </w:r>
          </w:p>
          <w:p w14:paraId="7FEC1ECB">
            <w:pPr>
              <w:rPr>
                <w:rFonts w:ascii="宋体" w:hAnsi="宋体" w:cs="宋体"/>
                <w:szCs w:val="21"/>
              </w:rPr>
            </w:pPr>
            <w:r>
              <w:rPr>
                <w:rFonts w:hint="eastAsia" w:ascii="宋体" w:hAnsi="宋体" w:cs="宋体"/>
                <w:szCs w:val="21"/>
              </w:rPr>
              <w:t>2、连接方式：蓝牙5.0/USB</w:t>
            </w:r>
          </w:p>
          <w:p w14:paraId="7E8CBE43">
            <w:pPr>
              <w:rPr>
                <w:rFonts w:ascii="宋体" w:hAnsi="宋体" w:cs="宋体"/>
                <w:szCs w:val="21"/>
              </w:rPr>
            </w:pPr>
            <w:r>
              <w:rPr>
                <w:rFonts w:hint="eastAsia" w:ascii="宋体" w:hAnsi="宋体" w:cs="宋体"/>
                <w:szCs w:val="21"/>
              </w:rPr>
              <w:t>3、兼容系统：Windows / Android</w:t>
            </w:r>
          </w:p>
          <w:p w14:paraId="22BF5292">
            <w:pPr>
              <w:rPr>
                <w:rFonts w:ascii="宋体" w:hAnsi="宋体" w:cs="宋体"/>
                <w:szCs w:val="21"/>
              </w:rPr>
            </w:pPr>
            <w:r>
              <w:rPr>
                <w:rFonts w:hint="eastAsia" w:ascii="宋体" w:hAnsi="宋体" w:cs="宋体"/>
                <w:szCs w:val="21"/>
              </w:rPr>
              <w:t>4、配套软件：数据分析软件</w:t>
            </w:r>
          </w:p>
          <w:p w14:paraId="3F32FE7C">
            <w:pPr>
              <w:rPr>
                <w:rFonts w:ascii="宋体" w:hAnsi="宋体" w:cs="宋体"/>
                <w:szCs w:val="21"/>
              </w:rPr>
            </w:pPr>
            <w:r>
              <w:rPr>
                <w:rFonts w:hint="eastAsia" w:ascii="宋体" w:hAnsi="宋体" w:cs="宋体"/>
                <w:szCs w:val="21"/>
              </w:rPr>
              <w:t>5、  1.8寸彩屏</w:t>
            </w:r>
          </w:p>
        </w:tc>
      </w:tr>
      <w:tr w14:paraId="7E28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25AFE2E">
            <w:pPr>
              <w:numPr>
                <w:ilvl w:val="0"/>
                <w:numId w:val="2"/>
              </w:numPr>
              <w:ind w:left="0" w:firstLine="0"/>
              <w:jc w:val="center"/>
              <w:rPr>
                <w:rFonts w:ascii="宋体" w:hAnsi="宋体" w:cs="宋体"/>
                <w:szCs w:val="21"/>
              </w:rPr>
            </w:pPr>
          </w:p>
        </w:tc>
        <w:tc>
          <w:tcPr>
            <w:tcW w:w="1276" w:type="dxa"/>
            <w:vAlign w:val="center"/>
          </w:tcPr>
          <w:p w14:paraId="5ECFA516">
            <w:pPr>
              <w:jc w:val="center"/>
              <w:rPr>
                <w:rFonts w:ascii="宋体" w:hAnsi="宋体" w:cs="宋体"/>
                <w:szCs w:val="21"/>
              </w:rPr>
            </w:pPr>
            <w:r>
              <w:rPr>
                <w:rFonts w:hint="eastAsia" w:ascii="宋体" w:hAnsi="宋体" w:cs="宋体"/>
                <w:szCs w:val="21"/>
              </w:rPr>
              <w:t>温度传感器</w:t>
            </w:r>
          </w:p>
        </w:tc>
        <w:tc>
          <w:tcPr>
            <w:tcW w:w="709" w:type="dxa"/>
            <w:vAlign w:val="center"/>
          </w:tcPr>
          <w:p w14:paraId="3EF891D5">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3934439D">
            <w:pPr>
              <w:jc w:val="center"/>
              <w:rPr>
                <w:rFonts w:ascii="宋体" w:hAnsi="宋体" w:cs="宋体"/>
                <w:szCs w:val="21"/>
              </w:rPr>
            </w:pPr>
            <w:r>
              <w:rPr>
                <w:rFonts w:hint="eastAsia" w:ascii="宋体" w:hAnsi="宋体" w:cs="宋体"/>
                <w:szCs w:val="21"/>
              </w:rPr>
              <w:t>个</w:t>
            </w:r>
          </w:p>
        </w:tc>
        <w:tc>
          <w:tcPr>
            <w:tcW w:w="5611" w:type="dxa"/>
            <w:vAlign w:val="center"/>
          </w:tcPr>
          <w:p w14:paraId="7C837973">
            <w:pPr>
              <w:rPr>
                <w:rFonts w:ascii="宋体" w:hAnsi="宋体" w:cs="宋体"/>
                <w:szCs w:val="21"/>
              </w:rPr>
            </w:pPr>
            <w:r>
              <w:rPr>
                <w:rFonts w:hint="eastAsia" w:ascii="宋体" w:hAnsi="宋体" w:cs="宋体"/>
                <w:szCs w:val="21"/>
              </w:rPr>
              <w:t>1、测量范围：-50℃～250℃</w:t>
            </w:r>
          </w:p>
          <w:p w14:paraId="32A37295">
            <w:pPr>
              <w:rPr>
                <w:rFonts w:ascii="宋体" w:hAnsi="宋体" w:cs="宋体"/>
                <w:szCs w:val="21"/>
              </w:rPr>
            </w:pPr>
            <w:r>
              <w:rPr>
                <w:rFonts w:hint="eastAsia" w:ascii="宋体" w:hAnsi="宋体" w:cs="宋体"/>
                <w:szCs w:val="21"/>
              </w:rPr>
              <w:t>2、探头材质：不锈钢</w:t>
            </w:r>
          </w:p>
          <w:p w14:paraId="260EC941">
            <w:pPr>
              <w:rPr>
                <w:rFonts w:ascii="宋体" w:hAnsi="宋体" w:cs="宋体"/>
                <w:szCs w:val="21"/>
              </w:rPr>
            </w:pPr>
            <w:r>
              <w:rPr>
                <w:rFonts w:hint="eastAsia" w:ascii="宋体" w:hAnsi="宋体" w:cs="宋体"/>
                <w:szCs w:val="21"/>
              </w:rPr>
              <w:t>3、连接方式：蓝牙无线/USB有线</w:t>
            </w:r>
          </w:p>
          <w:p w14:paraId="51F80B1C">
            <w:pPr>
              <w:rPr>
                <w:rFonts w:ascii="宋体" w:hAnsi="宋体" w:cs="宋体"/>
                <w:szCs w:val="21"/>
              </w:rPr>
            </w:pPr>
            <w:r>
              <w:rPr>
                <w:rFonts w:hint="eastAsia" w:ascii="宋体" w:hAnsi="宋体" w:cs="宋体"/>
                <w:szCs w:val="21"/>
              </w:rPr>
              <w:t>4、数据显示：1.8寸彩屏</w:t>
            </w:r>
          </w:p>
        </w:tc>
      </w:tr>
      <w:tr w14:paraId="1F67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3436D4F">
            <w:pPr>
              <w:numPr>
                <w:ilvl w:val="0"/>
                <w:numId w:val="2"/>
              </w:numPr>
              <w:ind w:left="0" w:firstLine="0"/>
              <w:jc w:val="center"/>
              <w:rPr>
                <w:rFonts w:ascii="宋体" w:hAnsi="宋体" w:cs="宋体"/>
                <w:szCs w:val="21"/>
              </w:rPr>
            </w:pPr>
          </w:p>
        </w:tc>
        <w:tc>
          <w:tcPr>
            <w:tcW w:w="1276" w:type="dxa"/>
            <w:vAlign w:val="center"/>
          </w:tcPr>
          <w:p w14:paraId="41FB20EA">
            <w:pPr>
              <w:jc w:val="center"/>
              <w:rPr>
                <w:rFonts w:ascii="宋体" w:hAnsi="宋体" w:cs="宋体"/>
                <w:szCs w:val="21"/>
              </w:rPr>
            </w:pPr>
            <w:r>
              <w:rPr>
                <w:rFonts w:hint="eastAsia" w:ascii="宋体" w:hAnsi="宋体" w:cs="宋体"/>
                <w:szCs w:val="21"/>
              </w:rPr>
              <w:t>色度计传感器</w:t>
            </w:r>
          </w:p>
        </w:tc>
        <w:tc>
          <w:tcPr>
            <w:tcW w:w="709" w:type="dxa"/>
            <w:vAlign w:val="center"/>
          </w:tcPr>
          <w:p w14:paraId="01C73D00">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0DDAAA7E">
            <w:pPr>
              <w:jc w:val="center"/>
              <w:rPr>
                <w:rFonts w:ascii="宋体" w:hAnsi="宋体" w:cs="宋体"/>
                <w:szCs w:val="21"/>
              </w:rPr>
            </w:pPr>
            <w:r>
              <w:rPr>
                <w:rFonts w:hint="eastAsia" w:ascii="宋体" w:hAnsi="宋体" w:cs="宋体"/>
                <w:szCs w:val="21"/>
              </w:rPr>
              <w:t>个</w:t>
            </w:r>
          </w:p>
        </w:tc>
        <w:tc>
          <w:tcPr>
            <w:tcW w:w="5611" w:type="dxa"/>
            <w:vAlign w:val="center"/>
          </w:tcPr>
          <w:p w14:paraId="2B7ECDCF">
            <w:pPr>
              <w:rPr>
                <w:rFonts w:ascii="宋体" w:hAnsi="宋体" w:cs="宋体"/>
                <w:szCs w:val="21"/>
              </w:rPr>
            </w:pPr>
            <w:r>
              <w:rPr>
                <w:rFonts w:hint="eastAsia" w:ascii="宋体" w:hAnsi="宋体" w:cs="宋体"/>
                <w:szCs w:val="21"/>
              </w:rPr>
              <w:t>1、测量范围：0～100%</w:t>
            </w:r>
          </w:p>
          <w:p w14:paraId="7F365BC7">
            <w:pPr>
              <w:rPr>
                <w:rFonts w:ascii="宋体" w:hAnsi="宋体" w:cs="宋体"/>
                <w:szCs w:val="21"/>
              </w:rPr>
            </w:pPr>
            <w:r>
              <w:rPr>
                <w:rFonts w:hint="eastAsia" w:ascii="宋体" w:hAnsi="宋体" w:cs="宋体"/>
                <w:szCs w:val="21"/>
              </w:rPr>
              <w:t>2、采用速率：≥20次/秒</w:t>
            </w:r>
          </w:p>
          <w:p w14:paraId="0A5525F5">
            <w:pPr>
              <w:rPr>
                <w:rFonts w:ascii="宋体" w:hAnsi="宋体" w:cs="宋体"/>
                <w:szCs w:val="21"/>
              </w:rPr>
            </w:pPr>
            <w:r>
              <w:rPr>
                <w:rFonts w:hint="eastAsia" w:ascii="宋体" w:hAnsi="宋体" w:cs="宋体"/>
                <w:szCs w:val="21"/>
              </w:rPr>
              <w:t>3、测量精度：±0.5%FS</w:t>
            </w:r>
          </w:p>
          <w:p w14:paraId="04F1ACBA">
            <w:pPr>
              <w:rPr>
                <w:rFonts w:ascii="宋体" w:hAnsi="宋体" w:cs="宋体"/>
                <w:szCs w:val="21"/>
              </w:rPr>
            </w:pPr>
            <w:r>
              <w:rPr>
                <w:rFonts w:hint="eastAsia" w:ascii="宋体" w:hAnsi="宋体" w:cs="宋体"/>
                <w:szCs w:val="21"/>
              </w:rPr>
              <w:t>4、分辨率：0.1%</w:t>
            </w:r>
          </w:p>
          <w:p w14:paraId="301CF020">
            <w:pPr>
              <w:rPr>
                <w:rFonts w:ascii="宋体" w:hAnsi="宋体" w:cs="宋体"/>
                <w:szCs w:val="21"/>
              </w:rPr>
            </w:pPr>
            <w:r>
              <w:rPr>
                <w:rFonts w:hint="eastAsia" w:ascii="宋体" w:hAnsi="宋体" w:cs="宋体"/>
                <w:szCs w:val="21"/>
              </w:rPr>
              <w:t>5、连接方式：蓝牙/有线连接</w:t>
            </w:r>
          </w:p>
        </w:tc>
      </w:tr>
      <w:tr w14:paraId="63C7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EAB9CFC">
            <w:pPr>
              <w:numPr>
                <w:ilvl w:val="0"/>
                <w:numId w:val="2"/>
              </w:numPr>
              <w:ind w:left="0" w:firstLine="0"/>
              <w:jc w:val="center"/>
              <w:rPr>
                <w:rFonts w:ascii="宋体" w:hAnsi="宋体" w:cs="宋体"/>
                <w:szCs w:val="21"/>
              </w:rPr>
            </w:pPr>
          </w:p>
        </w:tc>
        <w:tc>
          <w:tcPr>
            <w:tcW w:w="1276" w:type="dxa"/>
            <w:vAlign w:val="center"/>
          </w:tcPr>
          <w:p w14:paraId="2897C1A4">
            <w:pPr>
              <w:jc w:val="center"/>
              <w:rPr>
                <w:rFonts w:ascii="宋体" w:hAnsi="宋体" w:cs="宋体"/>
                <w:szCs w:val="21"/>
              </w:rPr>
            </w:pPr>
            <w:r>
              <w:rPr>
                <w:rFonts w:hint="eastAsia" w:ascii="宋体" w:hAnsi="宋体" w:cs="宋体"/>
                <w:szCs w:val="21"/>
              </w:rPr>
              <w:t>自动移液工作站</w:t>
            </w:r>
          </w:p>
        </w:tc>
        <w:tc>
          <w:tcPr>
            <w:tcW w:w="709" w:type="dxa"/>
            <w:vAlign w:val="center"/>
          </w:tcPr>
          <w:p w14:paraId="0242A0AE">
            <w:pPr>
              <w:widowControl/>
              <w:jc w:val="center"/>
              <w:textAlignment w:val="center"/>
              <w:rPr>
                <w:rFonts w:ascii="宋体" w:hAnsi="宋体" w:cs="宋体"/>
                <w:szCs w:val="21"/>
              </w:rPr>
            </w:pPr>
            <w:r>
              <w:rPr>
                <w:rFonts w:hint="eastAsia" w:ascii="宋体" w:hAnsi="宋体" w:cs="宋体"/>
                <w:color w:val="000000"/>
                <w:kern w:val="0"/>
                <w:szCs w:val="21"/>
                <w:lang w:bidi="ar"/>
              </w:rPr>
              <w:t>1</w:t>
            </w:r>
          </w:p>
        </w:tc>
        <w:tc>
          <w:tcPr>
            <w:tcW w:w="709" w:type="dxa"/>
            <w:vAlign w:val="center"/>
          </w:tcPr>
          <w:p w14:paraId="4D29B261">
            <w:pPr>
              <w:jc w:val="center"/>
              <w:rPr>
                <w:rFonts w:ascii="宋体" w:hAnsi="宋体" w:cs="宋体"/>
                <w:szCs w:val="21"/>
              </w:rPr>
            </w:pPr>
            <w:r>
              <w:rPr>
                <w:rFonts w:hint="eastAsia" w:ascii="宋体" w:hAnsi="宋体" w:cs="宋体"/>
                <w:szCs w:val="21"/>
              </w:rPr>
              <w:t>台</w:t>
            </w:r>
          </w:p>
        </w:tc>
        <w:tc>
          <w:tcPr>
            <w:tcW w:w="5611" w:type="dxa"/>
            <w:vAlign w:val="center"/>
          </w:tcPr>
          <w:p w14:paraId="05ABA3FC">
            <w:pPr>
              <w:rPr>
                <w:rFonts w:ascii="宋体" w:hAnsi="宋体" w:cs="宋体"/>
                <w:szCs w:val="21"/>
              </w:rPr>
            </w:pPr>
            <w:r>
              <w:rPr>
                <w:rFonts w:hint="eastAsia" w:ascii="宋体" w:hAnsi="宋体" w:cs="宋体"/>
                <w:szCs w:val="21"/>
              </w:rPr>
              <w:t>1、仪器特点</w:t>
            </w:r>
          </w:p>
          <w:p w14:paraId="0F990560">
            <w:pPr>
              <w:rPr>
                <w:rFonts w:ascii="宋体" w:hAnsi="宋体" w:cs="宋体"/>
                <w:szCs w:val="21"/>
              </w:rPr>
            </w:pPr>
            <w:r>
              <w:rPr>
                <w:rFonts w:hint="eastAsia" w:ascii="宋体" w:hAnsi="宋体" w:cs="宋体"/>
                <w:szCs w:val="21"/>
              </w:rPr>
              <w:t>1.1 移液工作站由XYZ三轴运动结构、高精度移液模块、底部托盘和安卓平板四部分组成。通过三轴运动结构实现不同耗材和试剂的精准操作；高精度移液模块应用空气置换的方式实现精准移液；底部托盘可选3 ~ 6盘位，满足多种不同的应用需要；安卓平板作为用户界面和控制系统的一部分，用于操作和监控移液工作站的运行。</w:t>
            </w:r>
          </w:p>
          <w:p w14:paraId="36D21FDF">
            <w:pPr>
              <w:rPr>
                <w:rFonts w:ascii="宋体" w:hAnsi="宋体" w:cs="宋体"/>
                <w:szCs w:val="21"/>
              </w:rPr>
            </w:pPr>
            <w:r>
              <w:rPr>
                <w:rFonts w:hint="eastAsia" w:ascii="宋体" w:hAnsi="宋体" w:cs="宋体"/>
                <w:szCs w:val="21"/>
              </w:rPr>
              <w:t>1.2 试剂添加、化合物添加、单列梯度稀释、板的格式重组、PCR/QPCR、DNA测序、RNA转录、细胞培养等等。</w:t>
            </w:r>
          </w:p>
          <w:p w14:paraId="32009BBD">
            <w:pPr>
              <w:rPr>
                <w:rFonts w:ascii="宋体" w:hAnsi="宋体" w:cs="宋体"/>
                <w:szCs w:val="21"/>
              </w:rPr>
            </w:pPr>
            <w:r>
              <w:rPr>
                <w:rFonts w:hint="eastAsia" w:ascii="宋体" w:hAnsi="宋体" w:cs="宋体"/>
                <w:szCs w:val="21"/>
              </w:rPr>
              <w:t>1.3 安卓平板软件（HWCC）控制，兼容无线蓝牙和USB Type-C两种连接方式，可同时充电和通信；（投标人须提供兼容无线蓝牙和USB Type-C两种连接方式，可同时充电和通信的照片，</w:t>
            </w:r>
            <w:bookmarkStart w:id="42" w:name="OLE_LINK2"/>
            <w:bookmarkStart w:id="43" w:name="OLE_LINK1"/>
            <w:r>
              <w:rPr>
                <w:rFonts w:hint="eastAsia"/>
              </w:rPr>
              <w:t>加盖投标人公章作为证明文件</w:t>
            </w:r>
            <w:bookmarkEnd w:id="42"/>
            <w:bookmarkEnd w:id="43"/>
            <w:r>
              <w:rPr>
                <w:rFonts w:hint="eastAsia" w:ascii="宋体" w:hAnsi="宋体" w:cs="宋体"/>
                <w:szCs w:val="21"/>
              </w:rPr>
              <w:t>）</w:t>
            </w:r>
          </w:p>
          <w:p w14:paraId="608A83A9">
            <w:pPr>
              <w:rPr>
                <w:rFonts w:ascii="宋体" w:hAnsi="宋体" w:cs="宋体"/>
                <w:szCs w:val="21"/>
              </w:rPr>
            </w:pPr>
            <w:r>
              <w:rPr>
                <w:rFonts w:hint="eastAsia" w:ascii="宋体" w:hAnsi="宋体" w:cs="宋体"/>
                <w:szCs w:val="21"/>
              </w:rPr>
              <w:t>1.4 液体转移，96转384全自动完成，不需要手动操作;(提供能佐证此条参数的技术说明书作为证明材料并加盖投标人公章）；</w:t>
            </w:r>
          </w:p>
          <w:p w14:paraId="69F5DE96">
            <w:pPr>
              <w:rPr>
                <w:rFonts w:ascii="宋体" w:hAnsi="宋体" w:cs="宋体"/>
                <w:szCs w:val="21"/>
              </w:rPr>
            </w:pPr>
            <w:r>
              <w:rPr>
                <w:rFonts w:hint="eastAsia" w:ascii="宋体" w:hAnsi="宋体" w:cs="宋体"/>
                <w:szCs w:val="21"/>
              </w:rPr>
              <w:t>1.5 移动速度可调，满足不同物理特性液体对移液速度的要求；</w:t>
            </w:r>
          </w:p>
          <w:p w14:paraId="3F767595">
            <w:pPr>
              <w:rPr>
                <w:rFonts w:ascii="宋体" w:hAnsi="宋体" w:cs="宋体"/>
                <w:szCs w:val="21"/>
              </w:rPr>
            </w:pPr>
            <w:r>
              <w:rPr>
                <w:rFonts w:hint="eastAsia" w:ascii="宋体" w:hAnsi="宋体" w:cs="宋体"/>
                <w:szCs w:val="21"/>
              </w:rPr>
              <w:t>1.6 结构模块化设计，适用多种规格移液模块；</w:t>
            </w:r>
          </w:p>
          <w:p w14:paraId="55C9FECA">
            <w:pPr>
              <w:rPr>
                <w:rFonts w:ascii="宋体" w:hAnsi="宋体" w:cs="宋体"/>
                <w:szCs w:val="21"/>
              </w:rPr>
            </w:pPr>
            <w:r>
              <w:rPr>
                <w:rFonts w:hint="eastAsia" w:ascii="宋体" w:hAnsi="宋体" w:cs="宋体"/>
                <w:szCs w:val="21"/>
              </w:rPr>
              <w:t>1.7 梯度稀释，全自动完成梯度稀释目标；</w:t>
            </w:r>
          </w:p>
          <w:p w14:paraId="6DCAEF0D">
            <w:pPr>
              <w:rPr>
                <w:rFonts w:ascii="宋体" w:hAnsi="宋体" w:cs="宋体"/>
                <w:szCs w:val="21"/>
              </w:rPr>
            </w:pPr>
            <w:r>
              <w:rPr>
                <w:rFonts w:hint="eastAsia" w:ascii="宋体" w:hAnsi="宋体" w:cs="宋体"/>
                <w:szCs w:val="21"/>
              </w:rPr>
              <w:t>1.8 紧凑设计，可放置于通风橱或生物安全柜中；</w:t>
            </w:r>
          </w:p>
          <w:p w14:paraId="4FBD5B00">
            <w:pPr>
              <w:rPr>
                <w:rFonts w:ascii="宋体" w:hAnsi="宋体" w:cs="宋体"/>
                <w:szCs w:val="21"/>
              </w:rPr>
            </w:pPr>
            <w:r>
              <w:rPr>
                <w:rFonts w:hint="eastAsia" w:ascii="宋体" w:hAnsi="宋体" w:cs="宋体"/>
                <w:szCs w:val="21"/>
              </w:rPr>
              <w:t>1.9 标准款吸头，降低耗材使用成本；</w:t>
            </w:r>
          </w:p>
          <w:p w14:paraId="103303B5">
            <w:pPr>
              <w:rPr>
                <w:rFonts w:ascii="宋体" w:hAnsi="宋体" w:cs="宋体"/>
                <w:szCs w:val="21"/>
              </w:rPr>
            </w:pPr>
            <w:r>
              <w:rPr>
                <w:rFonts w:hint="eastAsia" w:ascii="宋体" w:hAnsi="宋体" w:cs="宋体"/>
                <w:szCs w:val="21"/>
              </w:rPr>
              <w:t>1.10 用户友好界面，直观易用的UI界面，自由的编程逻辑。</w:t>
            </w:r>
          </w:p>
          <w:p w14:paraId="2F0A9C2F">
            <w:pPr>
              <w:rPr>
                <w:rFonts w:ascii="宋体" w:hAnsi="宋体" w:cs="宋体"/>
                <w:szCs w:val="21"/>
              </w:rPr>
            </w:pPr>
            <w:r>
              <w:rPr>
                <w:rFonts w:hint="eastAsia" w:ascii="宋体" w:hAnsi="宋体" w:cs="宋体"/>
                <w:szCs w:val="21"/>
              </w:rPr>
              <w:t>2、仪器参数</w:t>
            </w:r>
          </w:p>
          <w:p w14:paraId="601A7DBD">
            <w:pPr>
              <w:rPr>
                <w:rFonts w:ascii="宋体" w:hAnsi="宋体" w:cs="宋体"/>
                <w:szCs w:val="21"/>
              </w:rPr>
            </w:pPr>
            <w:r>
              <w:rPr>
                <w:rFonts w:hint="eastAsia" w:ascii="宋体" w:hAnsi="宋体" w:cs="宋体"/>
                <w:szCs w:val="21"/>
              </w:rPr>
              <w:t>2.1 移液原理：空气置换式</w:t>
            </w:r>
          </w:p>
          <w:p w14:paraId="221CB37F">
            <w:pPr>
              <w:rPr>
                <w:rFonts w:ascii="宋体" w:hAnsi="宋体" w:cs="宋体"/>
                <w:szCs w:val="21"/>
              </w:rPr>
            </w:pPr>
            <w:r>
              <w:rPr>
                <w:rFonts w:hint="eastAsia" w:ascii="宋体" w:hAnsi="宋体" w:cs="宋体"/>
                <w:szCs w:val="21"/>
              </w:rPr>
              <w:t>2.2 通道数：96</w:t>
            </w:r>
          </w:p>
          <w:p w14:paraId="16BB5545">
            <w:pPr>
              <w:rPr>
                <w:rFonts w:ascii="宋体" w:hAnsi="宋体" w:cs="宋体"/>
                <w:szCs w:val="21"/>
              </w:rPr>
            </w:pPr>
            <w:r>
              <w:rPr>
                <w:rFonts w:hint="eastAsia" w:ascii="宋体" w:hAnsi="宋体" w:cs="宋体"/>
                <w:szCs w:val="21"/>
              </w:rPr>
              <w:t>2.3 板位数：6</w:t>
            </w:r>
          </w:p>
          <w:p w14:paraId="0B2E46C4">
            <w:pPr>
              <w:rPr>
                <w:rFonts w:ascii="宋体" w:hAnsi="宋体" w:cs="宋体"/>
                <w:szCs w:val="21"/>
              </w:rPr>
            </w:pPr>
            <w:r>
              <w:rPr>
                <w:rFonts w:hint="eastAsia" w:ascii="宋体" w:hAnsi="宋体" w:cs="宋体"/>
                <w:szCs w:val="21"/>
              </w:rPr>
              <w:t>2.4 孔板规格：标准SBS板位</w:t>
            </w:r>
          </w:p>
          <w:p w14:paraId="21F8CCD3">
            <w:pPr>
              <w:rPr>
                <w:rFonts w:ascii="宋体" w:hAnsi="宋体" w:cs="宋体"/>
                <w:szCs w:val="21"/>
              </w:rPr>
            </w:pPr>
            <w:r>
              <w:rPr>
                <w:rFonts w:hint="eastAsia" w:ascii="宋体" w:hAnsi="宋体" w:cs="宋体"/>
                <w:szCs w:val="21"/>
              </w:rPr>
              <w:t>2.5 移液范围：5~200μL</w:t>
            </w:r>
          </w:p>
          <w:p w14:paraId="65AD6B99">
            <w:pPr>
              <w:rPr>
                <w:rFonts w:ascii="宋体" w:hAnsi="宋体" w:cs="宋体"/>
                <w:szCs w:val="21"/>
              </w:rPr>
            </w:pPr>
            <w:r>
              <w:rPr>
                <w:rFonts w:hint="eastAsia" w:ascii="宋体" w:hAnsi="宋体" w:cs="宋体"/>
                <w:szCs w:val="21"/>
              </w:rPr>
              <w:t xml:space="preserve">2.6 移液准确度：≤1.5% @20μL；≤1% @100μL；≤0.8% @200μL </w:t>
            </w:r>
          </w:p>
          <w:p w14:paraId="02A938D4">
            <w:pPr>
              <w:rPr>
                <w:rFonts w:ascii="宋体" w:hAnsi="宋体" w:cs="宋体"/>
                <w:szCs w:val="21"/>
              </w:rPr>
            </w:pPr>
            <w:r>
              <w:rPr>
                <w:rFonts w:hint="eastAsia" w:ascii="宋体" w:hAnsi="宋体" w:cs="宋体"/>
                <w:szCs w:val="21"/>
              </w:rPr>
              <w:t xml:space="preserve">2.7 移液精确度：≤1% @20μL；≤0.8% @100μL；≤0.5% @200μL </w:t>
            </w:r>
          </w:p>
          <w:p w14:paraId="10918270">
            <w:pPr>
              <w:rPr>
                <w:rFonts w:ascii="宋体" w:hAnsi="宋体" w:cs="宋体"/>
                <w:szCs w:val="21"/>
              </w:rPr>
            </w:pPr>
            <w:r>
              <w:rPr>
                <w:rFonts w:hint="eastAsia" w:ascii="宋体" w:hAnsi="宋体" w:cs="宋体"/>
                <w:szCs w:val="21"/>
              </w:rPr>
              <w:t>2.8 电源：≤180~264VAC，47~63Hz；≥220W</w:t>
            </w:r>
          </w:p>
          <w:p w14:paraId="61ABEA63">
            <w:pPr>
              <w:rPr>
                <w:rFonts w:ascii="宋体" w:hAnsi="宋体" w:cs="宋体"/>
                <w:szCs w:val="21"/>
              </w:rPr>
            </w:pPr>
            <w:r>
              <w:rPr>
                <w:rFonts w:hint="eastAsia" w:ascii="宋体" w:hAnsi="宋体" w:cs="宋体"/>
                <w:szCs w:val="21"/>
              </w:rPr>
              <w:t>2.9 通信：蓝牙、USB Type-C（支持PD协议，充电、通信同时进行）</w:t>
            </w:r>
          </w:p>
          <w:p w14:paraId="78292889">
            <w:pPr>
              <w:rPr>
                <w:rFonts w:ascii="宋体" w:hAnsi="宋体" w:cs="宋体"/>
                <w:szCs w:val="21"/>
              </w:rPr>
            </w:pPr>
            <w:r>
              <w:rPr>
                <w:rFonts w:hint="eastAsia" w:ascii="宋体" w:hAnsi="宋体" w:cs="宋体"/>
                <w:szCs w:val="21"/>
              </w:rPr>
              <w:t>2.10 主机尺寸：≤855mm×350mm×580mm</w:t>
            </w:r>
          </w:p>
          <w:p w14:paraId="14AFE04F">
            <w:pPr>
              <w:rPr>
                <w:rFonts w:ascii="宋体" w:hAnsi="宋体" w:cs="宋体"/>
                <w:szCs w:val="21"/>
              </w:rPr>
            </w:pPr>
            <w:r>
              <w:rPr>
                <w:rFonts w:hint="eastAsia" w:ascii="宋体" w:hAnsi="宋体" w:cs="宋体"/>
                <w:szCs w:val="21"/>
              </w:rPr>
              <w:t>2.11 主机净重：≤28kg</w:t>
            </w:r>
          </w:p>
        </w:tc>
      </w:tr>
      <w:tr w14:paraId="0787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1930E13">
            <w:pPr>
              <w:numPr>
                <w:ilvl w:val="0"/>
                <w:numId w:val="2"/>
              </w:numPr>
              <w:ind w:left="0" w:firstLine="0"/>
              <w:jc w:val="center"/>
              <w:rPr>
                <w:rFonts w:ascii="宋体" w:hAnsi="宋体" w:cs="宋体"/>
                <w:szCs w:val="21"/>
              </w:rPr>
            </w:pPr>
          </w:p>
        </w:tc>
        <w:tc>
          <w:tcPr>
            <w:tcW w:w="1276" w:type="dxa"/>
            <w:vAlign w:val="center"/>
          </w:tcPr>
          <w:p w14:paraId="22EFDA12">
            <w:pPr>
              <w:jc w:val="center"/>
              <w:rPr>
                <w:rFonts w:ascii="宋体" w:hAnsi="宋体" w:cs="宋体"/>
                <w:szCs w:val="21"/>
              </w:rPr>
            </w:pPr>
            <w:r>
              <w:rPr>
                <w:rFonts w:hint="eastAsia" w:ascii="宋体" w:hAnsi="宋体" w:cs="宋体"/>
                <w:szCs w:val="21"/>
              </w:rPr>
              <w:t>自动旋光仪</w:t>
            </w:r>
          </w:p>
        </w:tc>
        <w:tc>
          <w:tcPr>
            <w:tcW w:w="709" w:type="dxa"/>
            <w:vAlign w:val="center"/>
          </w:tcPr>
          <w:p w14:paraId="6F1D15EC">
            <w:pPr>
              <w:widowControl/>
              <w:jc w:val="center"/>
              <w:textAlignment w:val="center"/>
              <w:rPr>
                <w:rFonts w:ascii="宋体" w:hAnsi="宋体" w:cs="宋体"/>
                <w:kern w:val="0"/>
                <w:szCs w:val="21"/>
              </w:rPr>
            </w:pPr>
            <w:r>
              <w:rPr>
                <w:rFonts w:hint="eastAsia" w:ascii="宋体" w:hAnsi="宋体" w:cs="宋体"/>
                <w:color w:val="000000"/>
                <w:kern w:val="0"/>
                <w:szCs w:val="21"/>
                <w:lang w:bidi="ar"/>
              </w:rPr>
              <w:t>10</w:t>
            </w:r>
          </w:p>
        </w:tc>
        <w:tc>
          <w:tcPr>
            <w:tcW w:w="709" w:type="dxa"/>
            <w:vAlign w:val="center"/>
          </w:tcPr>
          <w:p w14:paraId="2CA2E2E0">
            <w:pPr>
              <w:widowControl/>
              <w:jc w:val="center"/>
              <w:rPr>
                <w:rFonts w:ascii="宋体" w:hAnsi="宋体" w:cs="宋体"/>
                <w:kern w:val="0"/>
                <w:szCs w:val="21"/>
              </w:rPr>
            </w:pPr>
            <w:r>
              <w:rPr>
                <w:rFonts w:hint="eastAsia" w:ascii="宋体" w:hAnsi="宋体" w:cs="宋体"/>
                <w:szCs w:val="21"/>
              </w:rPr>
              <w:t>台</w:t>
            </w:r>
          </w:p>
        </w:tc>
        <w:tc>
          <w:tcPr>
            <w:tcW w:w="5611" w:type="dxa"/>
            <w:vAlign w:val="center"/>
          </w:tcPr>
          <w:p w14:paraId="0EB54D1E">
            <w:pPr>
              <w:widowControl/>
              <w:jc w:val="left"/>
              <w:rPr>
                <w:rFonts w:ascii="宋体" w:hAnsi="宋体" w:cs="宋体"/>
                <w:kern w:val="0"/>
                <w:szCs w:val="21"/>
              </w:rPr>
            </w:pPr>
            <w:r>
              <w:rPr>
                <w:rFonts w:hint="eastAsia" w:ascii="宋体" w:hAnsi="宋体" w:cs="宋体"/>
                <w:szCs w:val="21"/>
              </w:rPr>
              <w:t>技术参数：</w:t>
            </w:r>
            <w:r>
              <w:rPr>
                <w:rFonts w:hint="eastAsia" w:ascii="宋体" w:hAnsi="宋体" w:cs="宋体"/>
                <w:szCs w:val="21"/>
              </w:rPr>
              <w:br w:type="textWrapping"/>
            </w:r>
            <w:r>
              <w:rPr>
                <w:rFonts w:hint="eastAsia" w:ascii="宋体" w:hAnsi="宋体" w:cs="宋体"/>
                <w:szCs w:val="21"/>
              </w:rPr>
              <w:t>1、测量范围：-45°～＋45°</w:t>
            </w:r>
            <w:r>
              <w:rPr>
                <w:rFonts w:hint="eastAsia" w:ascii="宋体" w:hAnsi="宋体" w:cs="宋体"/>
                <w:szCs w:val="21"/>
              </w:rPr>
              <w:br w:type="textWrapping"/>
            </w:r>
            <w:r>
              <w:rPr>
                <w:rFonts w:hint="eastAsia" w:ascii="宋体" w:hAnsi="宋体" w:cs="宋体"/>
                <w:szCs w:val="21"/>
              </w:rPr>
              <w:t>2、最小读数值：0.001°</w:t>
            </w:r>
            <w:r>
              <w:rPr>
                <w:rFonts w:hint="eastAsia" w:ascii="宋体" w:hAnsi="宋体" w:cs="宋体"/>
                <w:szCs w:val="21"/>
              </w:rPr>
              <w:br w:type="textWrapping"/>
            </w:r>
            <w:r>
              <w:rPr>
                <w:rFonts w:hint="eastAsia" w:ascii="宋体" w:hAnsi="宋体" w:cs="宋体"/>
                <w:szCs w:val="21"/>
              </w:rPr>
              <w:t>3、准确度:±（0.005°＋测量值×0.03%) ±（0.005°Z＋测量值×0.03%)</w:t>
            </w:r>
            <w:r>
              <w:rPr>
                <w:rFonts w:hint="eastAsia" w:ascii="宋体" w:hAnsi="宋体" w:cs="宋体"/>
                <w:szCs w:val="21"/>
              </w:rPr>
              <w:br w:type="textWrapping"/>
            </w:r>
            <w:r>
              <w:rPr>
                <w:rFonts w:hint="eastAsia" w:ascii="宋体" w:hAnsi="宋体" w:cs="宋体"/>
                <w:szCs w:val="21"/>
              </w:rPr>
              <w:t>4、重复性（最大偏差）≤0.002° ± 0.006°Z</w:t>
            </w:r>
            <w:r>
              <w:rPr>
                <w:rFonts w:hint="eastAsia" w:ascii="宋体" w:hAnsi="宋体" w:cs="宋体"/>
                <w:szCs w:val="21"/>
              </w:rPr>
              <w:br w:type="textWrapping"/>
            </w:r>
            <w:r>
              <w:rPr>
                <w:rFonts w:hint="eastAsia" w:ascii="宋体" w:hAnsi="宋体" w:cs="宋体"/>
                <w:szCs w:val="21"/>
              </w:rPr>
              <w:t>5、可测样品最低透过率大于1％</w:t>
            </w:r>
          </w:p>
        </w:tc>
      </w:tr>
      <w:tr w14:paraId="5B05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DD02905">
            <w:pPr>
              <w:numPr>
                <w:ilvl w:val="0"/>
                <w:numId w:val="2"/>
              </w:numPr>
              <w:ind w:left="0" w:firstLine="0"/>
              <w:jc w:val="center"/>
              <w:rPr>
                <w:rFonts w:ascii="宋体" w:hAnsi="宋体" w:cs="宋体"/>
                <w:szCs w:val="21"/>
              </w:rPr>
            </w:pPr>
          </w:p>
        </w:tc>
        <w:tc>
          <w:tcPr>
            <w:tcW w:w="1276" w:type="dxa"/>
            <w:vAlign w:val="center"/>
          </w:tcPr>
          <w:p w14:paraId="4D84CCA3">
            <w:pPr>
              <w:jc w:val="center"/>
              <w:rPr>
                <w:rFonts w:ascii="宋体" w:hAnsi="宋体" w:cs="宋体"/>
                <w:szCs w:val="21"/>
              </w:rPr>
            </w:pPr>
            <w:r>
              <w:rPr>
                <w:rFonts w:hint="eastAsia" w:ascii="宋体" w:hAnsi="宋体" w:cs="宋体"/>
                <w:szCs w:val="21"/>
              </w:rPr>
              <w:t>玻璃恒温水浴</w:t>
            </w:r>
          </w:p>
        </w:tc>
        <w:tc>
          <w:tcPr>
            <w:tcW w:w="709" w:type="dxa"/>
            <w:vAlign w:val="center"/>
          </w:tcPr>
          <w:p w14:paraId="600CE971">
            <w:pPr>
              <w:widowControl/>
              <w:jc w:val="center"/>
              <w:textAlignment w:val="center"/>
              <w:rPr>
                <w:rFonts w:ascii="宋体" w:hAnsi="宋体" w:cs="宋体"/>
                <w:szCs w:val="21"/>
              </w:rPr>
            </w:pPr>
            <w:r>
              <w:rPr>
                <w:rFonts w:hint="eastAsia" w:ascii="宋体" w:hAnsi="宋体" w:cs="宋体"/>
                <w:color w:val="000000"/>
                <w:kern w:val="0"/>
                <w:szCs w:val="21"/>
                <w:lang w:bidi="ar"/>
              </w:rPr>
              <w:t>10</w:t>
            </w:r>
          </w:p>
        </w:tc>
        <w:tc>
          <w:tcPr>
            <w:tcW w:w="709" w:type="dxa"/>
            <w:vAlign w:val="center"/>
          </w:tcPr>
          <w:p w14:paraId="7AA256C3">
            <w:pPr>
              <w:jc w:val="center"/>
              <w:rPr>
                <w:rFonts w:ascii="宋体" w:hAnsi="宋体" w:cs="宋体"/>
                <w:szCs w:val="21"/>
              </w:rPr>
            </w:pPr>
            <w:r>
              <w:rPr>
                <w:rFonts w:hint="eastAsia" w:ascii="宋体" w:hAnsi="宋体" w:cs="宋体"/>
                <w:szCs w:val="21"/>
              </w:rPr>
              <w:t>台</w:t>
            </w:r>
          </w:p>
        </w:tc>
        <w:tc>
          <w:tcPr>
            <w:tcW w:w="5611" w:type="dxa"/>
            <w:vAlign w:val="center"/>
          </w:tcPr>
          <w:p w14:paraId="3C6CA81C">
            <w:pPr>
              <w:rPr>
                <w:rFonts w:ascii="宋体" w:hAnsi="宋体" w:cs="宋体"/>
                <w:szCs w:val="21"/>
              </w:rPr>
            </w:pPr>
            <w:r>
              <w:rPr>
                <w:rFonts w:hint="eastAsia" w:ascii="宋体" w:hAnsi="宋体" w:cs="宋体"/>
                <w:szCs w:val="21"/>
              </w:rPr>
              <w:t>技术参数：</w:t>
            </w:r>
            <w:r>
              <w:rPr>
                <w:rFonts w:hint="eastAsia" w:ascii="宋体" w:hAnsi="宋体" w:cs="宋体"/>
                <w:szCs w:val="21"/>
              </w:rPr>
              <w:br w:type="textWrapping"/>
            </w:r>
            <w:r>
              <w:rPr>
                <w:rFonts w:hint="eastAsia" w:ascii="宋体" w:hAnsi="宋体" w:cs="宋体"/>
                <w:szCs w:val="21"/>
              </w:rPr>
              <w:t>1、数字控温</w:t>
            </w:r>
            <w:r>
              <w:rPr>
                <w:rFonts w:hint="eastAsia" w:ascii="宋体" w:hAnsi="宋体" w:cs="宋体"/>
                <w:szCs w:val="21"/>
              </w:rPr>
              <w:br w:type="textWrapping"/>
            </w:r>
            <w:r>
              <w:rPr>
                <w:rFonts w:hint="eastAsia" w:ascii="宋体" w:hAnsi="宋体" w:cs="宋体"/>
                <w:szCs w:val="21"/>
              </w:rPr>
              <w:t>2、温度范围：室温～100℃</w:t>
            </w:r>
            <w:r>
              <w:rPr>
                <w:rFonts w:hint="eastAsia" w:ascii="宋体" w:hAnsi="宋体" w:cs="宋体"/>
                <w:szCs w:val="21"/>
              </w:rPr>
              <w:br w:type="textWrapping"/>
            </w:r>
            <w:r>
              <w:rPr>
                <w:rFonts w:hint="eastAsia" w:ascii="宋体" w:hAnsi="宋体" w:cs="宋体"/>
                <w:szCs w:val="21"/>
              </w:rPr>
              <w:t>3、温度波动：0.02℃</w:t>
            </w:r>
            <w:r>
              <w:rPr>
                <w:rFonts w:hint="eastAsia" w:ascii="宋体" w:hAnsi="宋体" w:cs="宋体"/>
                <w:szCs w:val="21"/>
              </w:rPr>
              <w:br w:type="textWrapping"/>
            </w:r>
            <w:r>
              <w:rPr>
                <w:rFonts w:hint="eastAsia" w:ascii="宋体" w:hAnsi="宋体" w:cs="宋体"/>
                <w:szCs w:val="21"/>
              </w:rPr>
              <w:t>4、温度分辨率：0.01℃</w:t>
            </w:r>
          </w:p>
          <w:p w14:paraId="7350CA80">
            <w:pPr>
              <w:rPr>
                <w:rFonts w:ascii="宋体" w:hAnsi="宋体" w:cs="宋体"/>
                <w:szCs w:val="21"/>
              </w:rPr>
            </w:pPr>
            <w:r>
              <w:rPr>
                <w:rFonts w:hint="eastAsia" w:ascii="宋体" w:hAnsi="宋体" w:cs="宋体"/>
                <w:szCs w:val="21"/>
              </w:rPr>
              <w:t>5、内胆尺寸：300mm×300mm</w:t>
            </w:r>
          </w:p>
        </w:tc>
      </w:tr>
      <w:tr w14:paraId="4DF6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0516966">
            <w:pPr>
              <w:numPr>
                <w:ilvl w:val="0"/>
                <w:numId w:val="2"/>
              </w:numPr>
              <w:ind w:left="0" w:firstLine="0"/>
              <w:jc w:val="center"/>
              <w:rPr>
                <w:rFonts w:ascii="宋体" w:hAnsi="宋体" w:cs="宋体"/>
                <w:szCs w:val="21"/>
              </w:rPr>
            </w:pPr>
          </w:p>
        </w:tc>
        <w:tc>
          <w:tcPr>
            <w:tcW w:w="1276" w:type="dxa"/>
            <w:vAlign w:val="center"/>
          </w:tcPr>
          <w:p w14:paraId="4489ADA4">
            <w:pPr>
              <w:jc w:val="center"/>
              <w:rPr>
                <w:rFonts w:ascii="宋体" w:hAnsi="宋体" w:cs="宋体"/>
                <w:szCs w:val="21"/>
              </w:rPr>
            </w:pPr>
            <w:r>
              <w:rPr>
                <w:rFonts w:hint="eastAsia" w:ascii="宋体" w:hAnsi="宋体" w:cs="宋体"/>
                <w:szCs w:val="21"/>
              </w:rPr>
              <w:t>精密数字真空压力计</w:t>
            </w:r>
          </w:p>
        </w:tc>
        <w:tc>
          <w:tcPr>
            <w:tcW w:w="709" w:type="dxa"/>
            <w:vAlign w:val="center"/>
          </w:tcPr>
          <w:p w14:paraId="4EAA2AF0">
            <w:pPr>
              <w:widowControl/>
              <w:jc w:val="center"/>
              <w:textAlignment w:val="center"/>
              <w:rPr>
                <w:rFonts w:ascii="宋体" w:hAnsi="宋体" w:cs="宋体"/>
                <w:szCs w:val="21"/>
              </w:rPr>
            </w:pPr>
            <w:r>
              <w:rPr>
                <w:rFonts w:hint="eastAsia" w:ascii="宋体" w:hAnsi="宋体" w:cs="宋体"/>
                <w:color w:val="000000"/>
                <w:kern w:val="0"/>
                <w:szCs w:val="21"/>
                <w:lang w:bidi="ar"/>
              </w:rPr>
              <w:t>15</w:t>
            </w:r>
          </w:p>
        </w:tc>
        <w:tc>
          <w:tcPr>
            <w:tcW w:w="709" w:type="dxa"/>
            <w:vAlign w:val="center"/>
          </w:tcPr>
          <w:p w14:paraId="41910A13">
            <w:pPr>
              <w:jc w:val="center"/>
              <w:rPr>
                <w:rFonts w:ascii="宋体" w:hAnsi="宋体" w:cs="宋体"/>
                <w:szCs w:val="21"/>
              </w:rPr>
            </w:pPr>
            <w:r>
              <w:rPr>
                <w:rFonts w:hint="eastAsia" w:ascii="宋体" w:hAnsi="宋体" w:cs="宋体"/>
                <w:szCs w:val="21"/>
              </w:rPr>
              <w:t>台</w:t>
            </w:r>
          </w:p>
        </w:tc>
        <w:tc>
          <w:tcPr>
            <w:tcW w:w="5611" w:type="dxa"/>
            <w:vAlign w:val="center"/>
          </w:tcPr>
          <w:p w14:paraId="5E575405">
            <w:pPr>
              <w:rPr>
                <w:rFonts w:ascii="宋体" w:hAnsi="宋体" w:cs="宋体"/>
                <w:szCs w:val="21"/>
              </w:rPr>
            </w:pPr>
            <w:r>
              <w:rPr>
                <w:rFonts w:hint="eastAsia" w:ascii="宋体" w:hAnsi="宋体" w:cs="宋体"/>
                <w:szCs w:val="21"/>
              </w:rPr>
              <w:t>技术参数：</w:t>
            </w:r>
            <w:r>
              <w:rPr>
                <w:rFonts w:hint="eastAsia" w:ascii="宋体" w:hAnsi="宋体" w:cs="宋体"/>
                <w:szCs w:val="21"/>
              </w:rPr>
              <w:br w:type="textWrapping"/>
            </w:r>
            <w:r>
              <w:rPr>
                <w:rFonts w:hint="eastAsia" w:ascii="宋体" w:hAnsi="宋体" w:cs="宋体"/>
                <w:szCs w:val="21"/>
              </w:rPr>
              <w:t>1、测量范围：0～-101.3 kPa</w:t>
            </w:r>
            <w:r>
              <w:rPr>
                <w:rFonts w:hint="eastAsia" w:ascii="宋体" w:hAnsi="宋体" w:cs="宋体"/>
                <w:szCs w:val="21"/>
              </w:rPr>
              <w:br w:type="textWrapping"/>
            </w:r>
            <w:r>
              <w:rPr>
                <w:rFonts w:hint="eastAsia" w:ascii="宋体" w:hAnsi="宋体" w:cs="宋体"/>
                <w:szCs w:val="21"/>
              </w:rPr>
              <w:t>2、分辨率：0.01 kPa</w:t>
            </w:r>
          </w:p>
        </w:tc>
      </w:tr>
      <w:tr w14:paraId="407D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952ECB1">
            <w:pPr>
              <w:numPr>
                <w:ilvl w:val="0"/>
                <w:numId w:val="2"/>
              </w:numPr>
              <w:ind w:left="0" w:firstLine="0"/>
              <w:jc w:val="center"/>
              <w:rPr>
                <w:rFonts w:ascii="宋体" w:hAnsi="宋体" w:cs="宋体"/>
                <w:szCs w:val="21"/>
              </w:rPr>
            </w:pPr>
          </w:p>
        </w:tc>
        <w:tc>
          <w:tcPr>
            <w:tcW w:w="1276" w:type="dxa"/>
            <w:vAlign w:val="center"/>
          </w:tcPr>
          <w:p w14:paraId="02CCB35E">
            <w:pPr>
              <w:jc w:val="center"/>
              <w:rPr>
                <w:rFonts w:ascii="宋体" w:hAnsi="宋体" w:cs="宋体"/>
                <w:szCs w:val="21"/>
              </w:rPr>
            </w:pPr>
            <w:r>
              <w:rPr>
                <w:rFonts w:hint="eastAsia" w:ascii="宋体" w:hAnsi="宋体" w:cs="宋体"/>
                <w:szCs w:val="21"/>
              </w:rPr>
              <w:t>高压数显稳压电源</w:t>
            </w:r>
          </w:p>
        </w:tc>
        <w:tc>
          <w:tcPr>
            <w:tcW w:w="709" w:type="dxa"/>
            <w:vAlign w:val="center"/>
          </w:tcPr>
          <w:p w14:paraId="1F5BE792">
            <w:pPr>
              <w:widowControl/>
              <w:jc w:val="center"/>
              <w:textAlignment w:val="center"/>
              <w:rPr>
                <w:rFonts w:ascii="宋体" w:hAnsi="宋体" w:cs="宋体"/>
                <w:szCs w:val="21"/>
              </w:rPr>
            </w:pPr>
            <w:r>
              <w:rPr>
                <w:rFonts w:hint="eastAsia" w:ascii="宋体" w:hAnsi="宋体" w:cs="宋体"/>
                <w:color w:val="000000"/>
                <w:kern w:val="0"/>
                <w:szCs w:val="21"/>
                <w:lang w:bidi="ar"/>
              </w:rPr>
              <w:t>15</w:t>
            </w:r>
          </w:p>
        </w:tc>
        <w:tc>
          <w:tcPr>
            <w:tcW w:w="709" w:type="dxa"/>
            <w:vAlign w:val="center"/>
          </w:tcPr>
          <w:p w14:paraId="5E16097A">
            <w:pPr>
              <w:jc w:val="center"/>
              <w:rPr>
                <w:rFonts w:ascii="宋体" w:hAnsi="宋体" w:cs="宋体"/>
                <w:szCs w:val="21"/>
              </w:rPr>
            </w:pPr>
            <w:r>
              <w:rPr>
                <w:rFonts w:hint="eastAsia" w:ascii="宋体" w:hAnsi="宋体" w:cs="宋体"/>
                <w:szCs w:val="21"/>
              </w:rPr>
              <w:t>台</w:t>
            </w:r>
          </w:p>
        </w:tc>
        <w:tc>
          <w:tcPr>
            <w:tcW w:w="5611" w:type="dxa"/>
            <w:vAlign w:val="center"/>
          </w:tcPr>
          <w:p w14:paraId="776D34C1">
            <w:pPr>
              <w:rPr>
                <w:rFonts w:ascii="宋体" w:hAnsi="宋体" w:cs="宋体"/>
                <w:szCs w:val="21"/>
              </w:rPr>
            </w:pPr>
            <w:r>
              <w:rPr>
                <w:rFonts w:hint="eastAsia" w:ascii="宋体" w:hAnsi="宋体" w:cs="宋体"/>
                <w:szCs w:val="21"/>
              </w:rPr>
              <w:t>技术参数：</w:t>
            </w:r>
            <w:r>
              <w:rPr>
                <w:rFonts w:hint="eastAsia" w:ascii="宋体" w:hAnsi="宋体" w:cs="宋体"/>
                <w:szCs w:val="21"/>
              </w:rPr>
              <w:br w:type="textWrapping"/>
            </w:r>
            <w:r>
              <w:rPr>
                <w:rFonts w:hint="eastAsia" w:ascii="宋体" w:hAnsi="宋体" w:cs="宋体"/>
                <w:szCs w:val="21"/>
              </w:rPr>
              <w:t>1、电压范围：0～300V，分辨率0.1V</w:t>
            </w:r>
            <w:r>
              <w:rPr>
                <w:rFonts w:hint="eastAsia" w:ascii="宋体" w:hAnsi="宋体" w:cs="宋体"/>
                <w:szCs w:val="21"/>
              </w:rPr>
              <w:br w:type="textWrapping"/>
            </w:r>
            <w:r>
              <w:rPr>
                <w:rFonts w:hint="eastAsia" w:ascii="宋体" w:hAnsi="宋体" w:cs="宋体"/>
                <w:szCs w:val="21"/>
              </w:rPr>
              <w:t>2、电流范围：0～100 mA，分辨率0.01mA</w:t>
            </w:r>
          </w:p>
        </w:tc>
      </w:tr>
      <w:tr w14:paraId="23D7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0782063">
            <w:pPr>
              <w:numPr>
                <w:ilvl w:val="0"/>
                <w:numId w:val="2"/>
              </w:numPr>
              <w:ind w:left="0" w:firstLine="0"/>
              <w:jc w:val="center"/>
              <w:rPr>
                <w:rFonts w:ascii="宋体" w:hAnsi="宋体" w:cs="宋体"/>
                <w:szCs w:val="21"/>
              </w:rPr>
            </w:pPr>
          </w:p>
        </w:tc>
        <w:tc>
          <w:tcPr>
            <w:tcW w:w="1276" w:type="dxa"/>
            <w:vAlign w:val="center"/>
          </w:tcPr>
          <w:p w14:paraId="2E11F187">
            <w:pPr>
              <w:jc w:val="center"/>
              <w:rPr>
                <w:rFonts w:ascii="宋体" w:hAnsi="宋体" w:cs="宋体"/>
                <w:szCs w:val="21"/>
              </w:rPr>
            </w:pPr>
            <w:r>
              <w:rPr>
                <w:rFonts w:hint="eastAsia" w:ascii="宋体" w:hAnsi="宋体" w:cs="宋体"/>
                <w:szCs w:val="21"/>
              </w:rPr>
              <w:t>不锈钢超级恒温水浴</w:t>
            </w:r>
          </w:p>
        </w:tc>
        <w:tc>
          <w:tcPr>
            <w:tcW w:w="709" w:type="dxa"/>
            <w:vAlign w:val="center"/>
          </w:tcPr>
          <w:p w14:paraId="20DBD7D9">
            <w:pPr>
              <w:widowControl/>
              <w:jc w:val="center"/>
              <w:textAlignment w:val="center"/>
              <w:rPr>
                <w:rFonts w:ascii="宋体" w:hAnsi="宋体" w:cs="宋体"/>
                <w:szCs w:val="21"/>
              </w:rPr>
            </w:pPr>
            <w:r>
              <w:rPr>
                <w:rFonts w:hint="eastAsia" w:ascii="宋体" w:hAnsi="宋体" w:cs="宋体"/>
                <w:color w:val="000000"/>
                <w:kern w:val="0"/>
                <w:szCs w:val="21"/>
                <w:lang w:bidi="ar"/>
              </w:rPr>
              <w:t>5</w:t>
            </w:r>
          </w:p>
        </w:tc>
        <w:tc>
          <w:tcPr>
            <w:tcW w:w="709" w:type="dxa"/>
            <w:vAlign w:val="center"/>
          </w:tcPr>
          <w:p w14:paraId="544E3122">
            <w:pPr>
              <w:jc w:val="center"/>
              <w:rPr>
                <w:rFonts w:ascii="宋体" w:hAnsi="宋体" w:cs="宋体"/>
                <w:szCs w:val="21"/>
              </w:rPr>
            </w:pPr>
            <w:r>
              <w:rPr>
                <w:rFonts w:hint="eastAsia" w:ascii="宋体" w:hAnsi="宋体" w:cs="宋体"/>
                <w:szCs w:val="21"/>
              </w:rPr>
              <w:t>台</w:t>
            </w:r>
          </w:p>
        </w:tc>
        <w:tc>
          <w:tcPr>
            <w:tcW w:w="5611" w:type="dxa"/>
            <w:vAlign w:val="center"/>
          </w:tcPr>
          <w:p w14:paraId="7E60D6A9">
            <w:pPr>
              <w:rPr>
                <w:rFonts w:ascii="宋体" w:hAnsi="宋体" w:cs="宋体"/>
                <w:szCs w:val="21"/>
              </w:rPr>
            </w:pPr>
            <w:r>
              <w:rPr>
                <w:rFonts w:hint="eastAsia" w:ascii="宋体" w:hAnsi="宋体" w:cs="宋体"/>
                <w:szCs w:val="21"/>
              </w:rPr>
              <w:t>技术参数：</w:t>
            </w:r>
            <w:r>
              <w:rPr>
                <w:rFonts w:hint="eastAsia" w:ascii="宋体" w:hAnsi="宋体" w:cs="宋体"/>
                <w:szCs w:val="21"/>
              </w:rPr>
              <w:br w:type="textWrapping"/>
            </w:r>
            <w:r>
              <w:rPr>
                <w:rFonts w:hint="eastAsia" w:ascii="宋体" w:hAnsi="宋体" w:cs="宋体"/>
                <w:szCs w:val="21"/>
              </w:rPr>
              <w:t>1、数字无差控温</w:t>
            </w:r>
            <w:r>
              <w:rPr>
                <w:rFonts w:hint="eastAsia" w:ascii="宋体" w:hAnsi="宋体" w:cs="宋体"/>
                <w:szCs w:val="21"/>
              </w:rPr>
              <w:br w:type="textWrapping"/>
            </w:r>
            <w:r>
              <w:rPr>
                <w:rFonts w:hint="eastAsia" w:ascii="宋体" w:hAnsi="宋体" w:cs="宋体"/>
                <w:szCs w:val="21"/>
              </w:rPr>
              <w:t>2、温度范围：室温～100℃</w:t>
            </w:r>
            <w:r>
              <w:rPr>
                <w:rFonts w:hint="eastAsia" w:ascii="宋体" w:hAnsi="宋体" w:cs="宋体"/>
                <w:szCs w:val="21"/>
              </w:rPr>
              <w:br w:type="textWrapping"/>
            </w:r>
            <w:r>
              <w:rPr>
                <w:rFonts w:hint="eastAsia" w:ascii="宋体" w:hAnsi="宋体" w:cs="宋体"/>
                <w:szCs w:val="21"/>
              </w:rPr>
              <w:t>3、温度波动：0.02℃</w:t>
            </w:r>
            <w:r>
              <w:rPr>
                <w:rFonts w:hint="eastAsia" w:ascii="宋体" w:hAnsi="宋体" w:cs="宋体"/>
                <w:szCs w:val="21"/>
              </w:rPr>
              <w:br w:type="textWrapping"/>
            </w:r>
            <w:r>
              <w:rPr>
                <w:rFonts w:hint="eastAsia" w:ascii="宋体" w:hAnsi="宋体" w:cs="宋体"/>
                <w:szCs w:val="21"/>
              </w:rPr>
              <w:t>4、温度分辨率：0.01℃</w:t>
            </w:r>
            <w:r>
              <w:rPr>
                <w:rFonts w:hint="eastAsia" w:ascii="宋体" w:hAnsi="宋体" w:cs="宋体"/>
                <w:szCs w:val="21"/>
              </w:rPr>
              <w:br w:type="textWrapping"/>
            </w:r>
            <w:r>
              <w:rPr>
                <w:rFonts w:hint="eastAsia" w:ascii="宋体" w:hAnsi="宋体" w:cs="宋体"/>
                <w:szCs w:val="21"/>
              </w:rPr>
              <w:t>5、泵流量：6L/min</w:t>
            </w:r>
          </w:p>
          <w:p w14:paraId="16498BFF">
            <w:pPr>
              <w:rPr>
                <w:rFonts w:ascii="宋体" w:hAnsi="宋体" w:cs="宋体"/>
                <w:szCs w:val="21"/>
              </w:rPr>
            </w:pPr>
            <w:r>
              <w:rPr>
                <w:rFonts w:hint="eastAsia" w:ascii="宋体" w:hAnsi="宋体" w:cs="宋体"/>
                <w:szCs w:val="21"/>
              </w:rPr>
              <w:t>6、内胆尺寸：260×290×210mm</w:t>
            </w:r>
          </w:p>
          <w:p w14:paraId="2644EA66">
            <w:pPr>
              <w:rPr>
                <w:rFonts w:ascii="宋体" w:hAnsi="宋体" w:cs="宋体"/>
                <w:szCs w:val="21"/>
              </w:rPr>
            </w:pPr>
            <w:r>
              <w:rPr>
                <w:rFonts w:hint="eastAsia" w:ascii="宋体" w:hAnsi="宋体" w:cs="宋体"/>
                <w:szCs w:val="21"/>
              </w:rPr>
              <w:t>7、外形尺寸：370×320×205mm</w:t>
            </w:r>
          </w:p>
          <w:p w14:paraId="0EF65EA3">
            <w:pPr>
              <w:rPr>
                <w:rFonts w:ascii="宋体" w:hAnsi="宋体" w:cs="宋体"/>
                <w:szCs w:val="21"/>
              </w:rPr>
            </w:pPr>
            <w:r>
              <w:rPr>
                <w:rFonts w:hint="eastAsia" w:ascii="宋体" w:hAnsi="宋体" w:cs="宋体"/>
                <w:szCs w:val="21"/>
              </w:rPr>
              <w:t>8、开口尺寸：240×160mm</w:t>
            </w:r>
          </w:p>
        </w:tc>
      </w:tr>
      <w:tr w14:paraId="6A2F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BA24F68">
            <w:pPr>
              <w:numPr>
                <w:ilvl w:val="0"/>
                <w:numId w:val="2"/>
              </w:numPr>
              <w:ind w:left="0" w:firstLine="0"/>
              <w:jc w:val="center"/>
              <w:rPr>
                <w:rFonts w:ascii="宋体" w:hAnsi="宋体" w:cs="宋体"/>
                <w:szCs w:val="21"/>
              </w:rPr>
            </w:pPr>
          </w:p>
        </w:tc>
        <w:tc>
          <w:tcPr>
            <w:tcW w:w="1276" w:type="dxa"/>
            <w:vAlign w:val="center"/>
          </w:tcPr>
          <w:p w14:paraId="0E8339C1">
            <w:pPr>
              <w:jc w:val="center"/>
              <w:rPr>
                <w:rFonts w:ascii="宋体" w:hAnsi="宋体" w:cs="宋体"/>
                <w:szCs w:val="21"/>
              </w:rPr>
            </w:pPr>
            <w:r>
              <w:rPr>
                <w:rFonts w:hint="eastAsia" w:ascii="宋体" w:hAnsi="宋体" w:cs="宋体"/>
                <w:szCs w:val="21"/>
              </w:rPr>
              <w:t>气液平衡常数实验装置</w:t>
            </w:r>
          </w:p>
        </w:tc>
        <w:tc>
          <w:tcPr>
            <w:tcW w:w="709" w:type="dxa"/>
            <w:vAlign w:val="center"/>
          </w:tcPr>
          <w:p w14:paraId="519EA449">
            <w:pPr>
              <w:widowControl/>
              <w:jc w:val="center"/>
              <w:textAlignment w:val="center"/>
              <w:rPr>
                <w:rFonts w:ascii="宋体" w:hAnsi="宋体" w:cs="宋体"/>
                <w:szCs w:val="21"/>
              </w:rPr>
            </w:pPr>
            <w:r>
              <w:rPr>
                <w:rFonts w:hint="eastAsia" w:ascii="宋体" w:hAnsi="宋体" w:cs="宋体"/>
                <w:color w:val="000000"/>
                <w:kern w:val="0"/>
                <w:szCs w:val="21"/>
                <w:lang w:bidi="ar"/>
              </w:rPr>
              <w:t>5</w:t>
            </w:r>
          </w:p>
        </w:tc>
        <w:tc>
          <w:tcPr>
            <w:tcW w:w="709" w:type="dxa"/>
            <w:vAlign w:val="center"/>
          </w:tcPr>
          <w:p w14:paraId="5E0C75F5">
            <w:pPr>
              <w:jc w:val="center"/>
              <w:rPr>
                <w:rFonts w:ascii="宋体" w:hAnsi="宋体" w:cs="宋体"/>
                <w:szCs w:val="21"/>
              </w:rPr>
            </w:pPr>
            <w:r>
              <w:rPr>
                <w:rFonts w:hint="eastAsia" w:ascii="宋体" w:hAnsi="宋体" w:cs="宋体"/>
                <w:szCs w:val="21"/>
              </w:rPr>
              <w:t>台</w:t>
            </w:r>
          </w:p>
        </w:tc>
        <w:tc>
          <w:tcPr>
            <w:tcW w:w="5611" w:type="dxa"/>
            <w:vAlign w:val="center"/>
          </w:tcPr>
          <w:p w14:paraId="03B9A200">
            <w:pPr>
              <w:numPr>
                <w:ilvl w:val="0"/>
                <w:numId w:val="3"/>
              </w:numPr>
              <w:rPr>
                <w:rFonts w:ascii="宋体" w:hAnsi="宋体" w:cs="宋体"/>
                <w:szCs w:val="21"/>
              </w:rPr>
            </w:pPr>
            <w:r>
              <w:rPr>
                <w:rFonts w:hint="eastAsia" w:ascii="宋体" w:hAnsi="宋体" w:cs="宋体"/>
                <w:szCs w:val="21"/>
              </w:rPr>
              <w:t>测温范围：-50～180℃。</w:t>
            </w:r>
          </w:p>
          <w:p w14:paraId="4FC4FD33">
            <w:pPr>
              <w:numPr>
                <w:ilvl w:val="0"/>
                <w:numId w:val="3"/>
              </w:numPr>
              <w:rPr>
                <w:rFonts w:ascii="宋体" w:hAnsi="宋体" w:cs="宋体"/>
                <w:szCs w:val="21"/>
              </w:rPr>
            </w:pPr>
            <w:r>
              <w:rPr>
                <w:rFonts w:hint="eastAsia" w:ascii="宋体" w:hAnsi="宋体" w:cs="宋体"/>
                <w:szCs w:val="21"/>
              </w:rPr>
              <w:t>测温分辨率：0.01℃。</w:t>
            </w:r>
          </w:p>
          <w:p w14:paraId="2D138683">
            <w:pPr>
              <w:numPr>
                <w:ilvl w:val="0"/>
                <w:numId w:val="3"/>
              </w:numPr>
              <w:rPr>
                <w:rFonts w:ascii="宋体" w:hAnsi="宋体" w:cs="宋体"/>
                <w:szCs w:val="21"/>
              </w:rPr>
            </w:pPr>
            <w:r>
              <w:rPr>
                <w:rFonts w:hint="eastAsia" w:ascii="宋体" w:hAnsi="宋体" w:cs="宋体"/>
                <w:szCs w:val="21"/>
              </w:rPr>
              <w:t>电流输出范围：0～2.4A。</w:t>
            </w:r>
          </w:p>
          <w:p w14:paraId="382DD868">
            <w:pPr>
              <w:numPr>
                <w:ilvl w:val="0"/>
                <w:numId w:val="3"/>
              </w:numPr>
              <w:rPr>
                <w:rFonts w:ascii="宋体" w:hAnsi="宋体" w:cs="宋体"/>
                <w:szCs w:val="21"/>
              </w:rPr>
            </w:pPr>
            <w:r>
              <w:rPr>
                <w:rFonts w:hint="eastAsia" w:ascii="宋体" w:hAnsi="宋体" w:cs="宋体"/>
                <w:szCs w:val="21"/>
              </w:rPr>
              <w:t>电流分辨率：0.1mA。</w:t>
            </w:r>
          </w:p>
          <w:p w14:paraId="50367724">
            <w:pPr>
              <w:numPr>
                <w:ilvl w:val="0"/>
                <w:numId w:val="3"/>
              </w:numPr>
              <w:rPr>
                <w:rFonts w:ascii="宋体" w:hAnsi="宋体" w:cs="宋体"/>
                <w:szCs w:val="21"/>
              </w:rPr>
            </w:pPr>
            <w:r>
              <w:rPr>
                <w:rFonts w:hint="eastAsia" w:ascii="宋体" w:hAnsi="宋体" w:cs="宋体"/>
                <w:szCs w:val="21"/>
              </w:rPr>
              <w:t>电压输出范围：0～24V。</w:t>
            </w:r>
          </w:p>
          <w:p w14:paraId="6315D47F">
            <w:pPr>
              <w:numPr>
                <w:ilvl w:val="0"/>
                <w:numId w:val="3"/>
              </w:numPr>
              <w:rPr>
                <w:rFonts w:ascii="宋体" w:hAnsi="宋体" w:cs="宋体"/>
                <w:szCs w:val="21"/>
              </w:rPr>
            </w:pPr>
            <w:r>
              <w:rPr>
                <w:rFonts w:hint="eastAsia" w:ascii="宋体" w:hAnsi="宋体" w:cs="宋体"/>
                <w:szCs w:val="21"/>
              </w:rPr>
              <w:t>电压分辨率：0.001V。</w:t>
            </w:r>
          </w:p>
          <w:p w14:paraId="7553BAF0">
            <w:pPr>
              <w:numPr>
                <w:ilvl w:val="0"/>
                <w:numId w:val="3"/>
              </w:numPr>
              <w:rPr>
                <w:rFonts w:ascii="宋体" w:hAnsi="宋体" w:cs="宋体"/>
                <w:szCs w:val="21"/>
              </w:rPr>
            </w:pPr>
            <w:r>
              <w:rPr>
                <w:rFonts w:hint="eastAsia" w:ascii="宋体" w:hAnsi="宋体" w:cs="宋体"/>
                <w:szCs w:val="21"/>
              </w:rPr>
              <w:t>温度传感器：不锈钢封装微型PT100(￠5*190mm)。</w:t>
            </w:r>
          </w:p>
          <w:p w14:paraId="0373EF12">
            <w:pPr>
              <w:numPr>
                <w:ilvl w:val="0"/>
                <w:numId w:val="3"/>
              </w:numPr>
              <w:rPr>
                <w:rFonts w:ascii="宋体" w:hAnsi="宋体" w:cs="宋体"/>
                <w:szCs w:val="21"/>
              </w:rPr>
            </w:pPr>
            <w:r>
              <w:rPr>
                <w:rFonts w:hint="eastAsia" w:ascii="宋体" w:hAnsi="宋体" w:cs="宋体"/>
                <w:szCs w:val="21"/>
              </w:rPr>
              <w:t>加热棒封装材质：304全封闭不锈钢，寿命长。</w:t>
            </w:r>
          </w:p>
          <w:p w14:paraId="74C755A3">
            <w:pPr>
              <w:numPr>
                <w:ilvl w:val="0"/>
                <w:numId w:val="3"/>
              </w:numPr>
              <w:rPr>
                <w:rFonts w:ascii="宋体" w:hAnsi="宋体" w:cs="宋体"/>
                <w:szCs w:val="21"/>
              </w:rPr>
            </w:pPr>
            <w:r>
              <w:rPr>
                <w:rFonts w:hint="eastAsia" w:ascii="宋体" w:hAnsi="宋体" w:cs="宋体"/>
                <w:szCs w:val="21"/>
              </w:rPr>
              <w:t>电流、电压、温度同时显示。</w:t>
            </w:r>
          </w:p>
          <w:p w14:paraId="4A8BCEFA">
            <w:pPr>
              <w:numPr>
                <w:ilvl w:val="0"/>
                <w:numId w:val="3"/>
              </w:numPr>
              <w:rPr>
                <w:rFonts w:ascii="宋体" w:hAnsi="宋体" w:cs="宋体"/>
                <w:szCs w:val="21"/>
              </w:rPr>
            </w:pPr>
            <w:r>
              <w:rPr>
                <w:rFonts w:hint="eastAsia" w:ascii="宋体" w:hAnsi="宋体" w:cs="宋体"/>
                <w:szCs w:val="21"/>
              </w:rPr>
              <w:t>箱式结构，支架一体，内有玻璃配件槽位，便于收纳管理。</w:t>
            </w:r>
          </w:p>
          <w:p w14:paraId="1F685814">
            <w:pPr>
              <w:numPr>
                <w:ilvl w:val="0"/>
                <w:numId w:val="3"/>
              </w:numPr>
              <w:rPr>
                <w:rFonts w:ascii="宋体" w:hAnsi="宋体" w:cs="宋体"/>
                <w:szCs w:val="21"/>
              </w:rPr>
            </w:pPr>
            <w:r>
              <w:rPr>
                <w:rFonts w:hint="eastAsia" w:ascii="宋体" w:hAnsi="宋体" w:cs="宋体"/>
                <w:szCs w:val="21"/>
              </w:rPr>
              <w:t>电源：～220V±10% 50HZ。</w:t>
            </w:r>
          </w:p>
          <w:p w14:paraId="66815E12">
            <w:pPr>
              <w:numPr>
                <w:ilvl w:val="0"/>
                <w:numId w:val="3"/>
              </w:numPr>
              <w:rPr>
                <w:rFonts w:ascii="宋体" w:hAnsi="宋体" w:cs="宋体"/>
                <w:szCs w:val="21"/>
              </w:rPr>
            </w:pPr>
            <w:r>
              <w:rPr>
                <w:rFonts w:hint="eastAsia" w:ascii="宋体" w:hAnsi="宋体" w:cs="宋体"/>
                <w:szCs w:val="21"/>
              </w:rPr>
              <w:t>环境：温度-5～50℃ 湿度≤85%</w:t>
            </w:r>
            <w:r>
              <w:rPr>
                <w:rFonts w:hint="eastAsia" w:ascii="宋体" w:hAnsi="宋体" w:cs="宋体"/>
                <w:szCs w:val="21"/>
              </w:rPr>
              <w:br w:type="textWrapping"/>
            </w:r>
            <w:r>
              <w:rPr>
                <w:rFonts w:hint="eastAsia" w:ascii="宋体" w:hAnsi="宋体" w:cs="宋体"/>
                <w:szCs w:val="21"/>
              </w:rPr>
              <w:t>13、配置:双液系气液平衡相图实验装置、沸点测定玻璃仪（含加热附件）</w:t>
            </w:r>
          </w:p>
        </w:tc>
      </w:tr>
      <w:tr w14:paraId="6DA1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D505551">
            <w:pPr>
              <w:numPr>
                <w:ilvl w:val="0"/>
                <w:numId w:val="2"/>
              </w:numPr>
              <w:ind w:left="0" w:firstLine="0"/>
              <w:jc w:val="center"/>
              <w:rPr>
                <w:rFonts w:ascii="宋体" w:hAnsi="宋体" w:cs="宋体"/>
                <w:szCs w:val="21"/>
              </w:rPr>
            </w:pPr>
          </w:p>
        </w:tc>
        <w:tc>
          <w:tcPr>
            <w:tcW w:w="1276" w:type="dxa"/>
            <w:vAlign w:val="center"/>
          </w:tcPr>
          <w:p w14:paraId="6B5DC7FF">
            <w:pPr>
              <w:jc w:val="center"/>
              <w:rPr>
                <w:rFonts w:ascii="宋体" w:hAnsi="宋体" w:cs="宋体"/>
                <w:szCs w:val="21"/>
              </w:rPr>
            </w:pPr>
            <w:r>
              <w:rPr>
                <w:rFonts w:hint="eastAsia" w:ascii="宋体" w:hAnsi="宋体" w:cs="宋体"/>
                <w:szCs w:val="21"/>
              </w:rPr>
              <w:t>电位差计</w:t>
            </w:r>
          </w:p>
        </w:tc>
        <w:tc>
          <w:tcPr>
            <w:tcW w:w="709" w:type="dxa"/>
            <w:vAlign w:val="center"/>
          </w:tcPr>
          <w:p w14:paraId="1F6F2949">
            <w:pPr>
              <w:widowControl/>
              <w:jc w:val="center"/>
              <w:textAlignment w:val="center"/>
              <w:rPr>
                <w:rFonts w:ascii="宋体" w:hAnsi="宋体" w:cs="宋体"/>
                <w:szCs w:val="21"/>
              </w:rPr>
            </w:pPr>
            <w:r>
              <w:rPr>
                <w:rFonts w:hint="eastAsia" w:ascii="宋体" w:hAnsi="宋体" w:cs="宋体"/>
                <w:color w:val="000000"/>
                <w:kern w:val="0"/>
                <w:szCs w:val="21"/>
                <w:lang w:bidi="ar"/>
              </w:rPr>
              <w:t>5</w:t>
            </w:r>
          </w:p>
        </w:tc>
        <w:tc>
          <w:tcPr>
            <w:tcW w:w="709" w:type="dxa"/>
            <w:vAlign w:val="center"/>
          </w:tcPr>
          <w:p w14:paraId="521C0C35">
            <w:pPr>
              <w:jc w:val="center"/>
              <w:rPr>
                <w:rFonts w:ascii="宋体" w:hAnsi="宋体" w:cs="宋体"/>
                <w:szCs w:val="21"/>
              </w:rPr>
            </w:pPr>
            <w:r>
              <w:rPr>
                <w:rFonts w:hint="eastAsia" w:ascii="宋体" w:hAnsi="宋体" w:cs="宋体"/>
                <w:szCs w:val="21"/>
              </w:rPr>
              <w:t>台</w:t>
            </w:r>
          </w:p>
        </w:tc>
        <w:tc>
          <w:tcPr>
            <w:tcW w:w="5611" w:type="dxa"/>
            <w:vAlign w:val="center"/>
          </w:tcPr>
          <w:p w14:paraId="317DE673">
            <w:pPr>
              <w:numPr>
                <w:ilvl w:val="0"/>
                <w:numId w:val="4"/>
              </w:numPr>
              <w:rPr>
                <w:rFonts w:ascii="宋体" w:hAnsi="宋体" w:cs="宋体"/>
                <w:szCs w:val="21"/>
              </w:rPr>
            </w:pPr>
            <w:r>
              <w:rPr>
                <w:rFonts w:hint="eastAsia" w:ascii="宋体" w:hAnsi="宋体" w:cs="宋体"/>
                <w:szCs w:val="21"/>
              </w:rPr>
              <w:t>测量范围:0~ 1.999999V，可扩展到 士5V；</w:t>
            </w:r>
          </w:p>
          <w:p w14:paraId="26B7CEE7">
            <w:pPr>
              <w:numPr>
                <w:ilvl w:val="0"/>
                <w:numId w:val="4"/>
              </w:numPr>
              <w:rPr>
                <w:rFonts w:ascii="宋体" w:hAnsi="宋体" w:cs="宋体"/>
                <w:szCs w:val="21"/>
              </w:rPr>
            </w:pPr>
            <w:r>
              <w:rPr>
                <w:rFonts w:hint="eastAsia" w:ascii="宋体" w:hAnsi="宋体" w:cs="宋体"/>
                <w:szCs w:val="21"/>
              </w:rPr>
              <w:t>精度:0.005%FS</w:t>
            </w:r>
            <w:r>
              <w:rPr>
                <w:rFonts w:hint="eastAsia" w:ascii="宋体" w:hAnsi="宋体" w:cs="宋体"/>
                <w:szCs w:val="21"/>
              </w:rPr>
              <w:br w:type="textWrapping"/>
            </w:r>
            <w:r>
              <w:rPr>
                <w:rFonts w:hint="eastAsia" w:ascii="宋体" w:hAnsi="宋体" w:cs="宋体"/>
                <w:szCs w:val="21"/>
              </w:rPr>
              <w:t>3、分辨率:0.00lmV</w:t>
            </w:r>
            <w:r>
              <w:rPr>
                <w:rFonts w:hint="eastAsia" w:ascii="宋体" w:hAnsi="宋体" w:cs="宋体"/>
                <w:szCs w:val="21"/>
              </w:rPr>
              <w:br w:type="textWrapping"/>
            </w:r>
            <w:r>
              <w:rPr>
                <w:rFonts w:hint="eastAsia" w:ascii="宋体" w:hAnsi="宋体" w:cs="宋体"/>
                <w:szCs w:val="21"/>
              </w:rPr>
              <w:t>4、内部基准:1.25V士1%</w:t>
            </w:r>
            <w:r>
              <w:rPr>
                <w:rFonts w:hint="eastAsia" w:ascii="宋体" w:hAnsi="宋体" w:cs="宋体"/>
                <w:szCs w:val="21"/>
              </w:rPr>
              <w:br w:type="textWrapping"/>
            </w:r>
            <w:r>
              <w:rPr>
                <w:rFonts w:hint="eastAsia" w:ascii="宋体" w:hAnsi="宋体" w:cs="宋体"/>
                <w:szCs w:val="21"/>
              </w:rPr>
              <w:t>5、尺寸:360x235x120mm</w:t>
            </w:r>
          </w:p>
          <w:p w14:paraId="08466DA0">
            <w:pPr>
              <w:rPr>
                <w:rFonts w:ascii="宋体" w:hAnsi="宋体" w:cs="宋体"/>
                <w:szCs w:val="21"/>
              </w:rPr>
            </w:pPr>
            <w:r>
              <w:rPr>
                <w:rFonts w:hint="eastAsia" w:ascii="宋体" w:hAnsi="宋体" w:cs="宋体"/>
                <w:szCs w:val="21"/>
              </w:rPr>
              <w:t>6、内部校准</w:t>
            </w:r>
          </w:p>
        </w:tc>
      </w:tr>
      <w:tr w14:paraId="4E61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5E3631E">
            <w:pPr>
              <w:numPr>
                <w:ilvl w:val="0"/>
                <w:numId w:val="2"/>
              </w:numPr>
              <w:ind w:left="0" w:firstLine="0"/>
              <w:jc w:val="center"/>
              <w:rPr>
                <w:rFonts w:ascii="宋体" w:hAnsi="宋体" w:cs="宋体"/>
                <w:szCs w:val="21"/>
              </w:rPr>
            </w:pPr>
          </w:p>
        </w:tc>
        <w:tc>
          <w:tcPr>
            <w:tcW w:w="1276" w:type="dxa"/>
            <w:vAlign w:val="center"/>
          </w:tcPr>
          <w:p w14:paraId="3307FD02">
            <w:pPr>
              <w:jc w:val="center"/>
              <w:rPr>
                <w:rFonts w:ascii="宋体" w:hAnsi="宋体" w:cs="宋体"/>
                <w:szCs w:val="21"/>
              </w:rPr>
            </w:pPr>
            <w:r>
              <w:rPr>
                <w:rFonts w:hint="eastAsia" w:ascii="宋体" w:hAnsi="宋体" w:cs="宋体"/>
                <w:szCs w:val="21"/>
              </w:rPr>
              <w:t>磁天平</w:t>
            </w:r>
          </w:p>
        </w:tc>
        <w:tc>
          <w:tcPr>
            <w:tcW w:w="709" w:type="dxa"/>
            <w:vAlign w:val="center"/>
          </w:tcPr>
          <w:p w14:paraId="12B425A3">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0D7FC450">
            <w:pPr>
              <w:jc w:val="center"/>
              <w:rPr>
                <w:rFonts w:ascii="宋体" w:hAnsi="宋体" w:cs="宋体"/>
                <w:szCs w:val="21"/>
              </w:rPr>
            </w:pPr>
            <w:r>
              <w:rPr>
                <w:rFonts w:hint="eastAsia" w:ascii="宋体" w:hAnsi="宋体" w:cs="宋体"/>
                <w:szCs w:val="21"/>
              </w:rPr>
              <w:t>台</w:t>
            </w:r>
          </w:p>
        </w:tc>
        <w:tc>
          <w:tcPr>
            <w:tcW w:w="5611" w:type="dxa"/>
            <w:vAlign w:val="center"/>
          </w:tcPr>
          <w:p w14:paraId="71A793CC">
            <w:pPr>
              <w:rPr>
                <w:rFonts w:ascii="宋体" w:hAnsi="宋体" w:cs="宋体"/>
                <w:szCs w:val="21"/>
              </w:rPr>
            </w:pPr>
            <w:r>
              <w:rPr>
                <w:rFonts w:hint="eastAsia" w:ascii="宋体" w:hAnsi="宋体" w:cs="宋体"/>
                <w:szCs w:val="21"/>
              </w:rPr>
              <w:t>技术参数：</w:t>
            </w:r>
            <w:r>
              <w:rPr>
                <w:rFonts w:hint="eastAsia" w:ascii="宋体" w:hAnsi="宋体" w:cs="宋体"/>
                <w:szCs w:val="21"/>
              </w:rPr>
              <w:br w:type="textWrapping"/>
            </w:r>
            <w:r>
              <w:rPr>
                <w:rFonts w:hint="eastAsia" w:ascii="宋体" w:hAnsi="宋体" w:cs="宋体"/>
                <w:szCs w:val="21"/>
              </w:rPr>
              <w:t>1、励磁电流范围0～10A（可调）；分辨率：0.01A；</w:t>
            </w:r>
            <w:r>
              <w:rPr>
                <w:rFonts w:hint="eastAsia" w:ascii="宋体" w:hAnsi="宋体" w:cs="宋体"/>
                <w:szCs w:val="21"/>
              </w:rPr>
              <w:br w:type="textWrapping"/>
            </w:r>
            <w:r>
              <w:rPr>
                <w:rFonts w:hint="eastAsia" w:ascii="宋体" w:hAnsi="宋体" w:cs="宋体"/>
                <w:szCs w:val="21"/>
              </w:rPr>
              <w:t>2、高 斯 计：0mT～2000mT，分辨率：0.1mT，四位半显示；</w:t>
            </w:r>
            <w:r>
              <w:rPr>
                <w:rFonts w:hint="eastAsia" w:ascii="宋体" w:hAnsi="宋体" w:cs="宋体"/>
                <w:szCs w:val="21"/>
              </w:rPr>
              <w:br w:type="textWrapping"/>
            </w:r>
            <w:r>
              <w:rPr>
                <w:rFonts w:hint="eastAsia" w:ascii="宋体" w:hAnsi="宋体" w:cs="宋体"/>
                <w:szCs w:val="21"/>
              </w:rPr>
              <w:t>3、磁场强度：0.000～0.85T；分辨率：0.1mT；</w:t>
            </w:r>
            <w:r>
              <w:rPr>
                <w:rFonts w:hint="eastAsia" w:ascii="宋体" w:hAnsi="宋体" w:cs="宋体"/>
                <w:szCs w:val="21"/>
              </w:rPr>
              <w:br w:type="textWrapping"/>
            </w:r>
            <w:r>
              <w:rPr>
                <w:rFonts w:hint="eastAsia" w:ascii="宋体" w:hAnsi="宋体" w:cs="宋体"/>
                <w:szCs w:val="21"/>
              </w:rPr>
              <w:t>4、磁场稳定度：＜1%hr，测磁系统：使用霍尔探头的高斯计；</w:t>
            </w:r>
            <w:r>
              <w:rPr>
                <w:rFonts w:hint="eastAsia" w:ascii="宋体" w:hAnsi="宋体" w:cs="宋体"/>
                <w:szCs w:val="21"/>
              </w:rPr>
              <w:br w:type="textWrapping"/>
            </w:r>
            <w:r>
              <w:rPr>
                <w:rFonts w:hint="eastAsia" w:ascii="宋体" w:hAnsi="宋体" w:cs="宋体"/>
                <w:szCs w:val="21"/>
              </w:rPr>
              <w:t>5、磁柱直径φ40mm，磁隙宽度0～40 mm（可调）；</w:t>
            </w:r>
            <w:r>
              <w:rPr>
                <w:rFonts w:hint="eastAsia" w:ascii="宋体" w:hAnsi="宋体" w:cs="宋体"/>
                <w:szCs w:val="21"/>
              </w:rPr>
              <w:br w:type="textWrapping"/>
            </w:r>
            <w:r>
              <w:rPr>
                <w:rFonts w:hint="eastAsia" w:ascii="宋体" w:hAnsi="宋体" w:cs="宋体"/>
                <w:szCs w:val="21"/>
              </w:rPr>
              <w:t>6、磁场均匀度＜1.5%（D＝20mm，d＝20mm）</w:t>
            </w:r>
          </w:p>
        </w:tc>
      </w:tr>
      <w:tr w14:paraId="7A15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4DA2BD7">
            <w:pPr>
              <w:numPr>
                <w:ilvl w:val="0"/>
                <w:numId w:val="2"/>
              </w:numPr>
              <w:ind w:left="0" w:firstLine="0"/>
              <w:jc w:val="center"/>
              <w:rPr>
                <w:rFonts w:ascii="宋体" w:hAnsi="宋体" w:cs="宋体"/>
                <w:szCs w:val="21"/>
              </w:rPr>
            </w:pPr>
          </w:p>
        </w:tc>
        <w:tc>
          <w:tcPr>
            <w:tcW w:w="1276" w:type="dxa"/>
            <w:vAlign w:val="center"/>
          </w:tcPr>
          <w:p w14:paraId="545DAA69">
            <w:pPr>
              <w:jc w:val="center"/>
              <w:rPr>
                <w:rFonts w:ascii="宋体" w:hAnsi="宋体" w:cs="宋体"/>
                <w:szCs w:val="21"/>
              </w:rPr>
            </w:pPr>
            <w:r>
              <w:rPr>
                <w:rFonts w:hint="eastAsia" w:ascii="宋体" w:hAnsi="宋体" w:cs="宋体"/>
                <w:szCs w:val="21"/>
              </w:rPr>
              <w:t>分析电子天平</w:t>
            </w:r>
          </w:p>
        </w:tc>
        <w:tc>
          <w:tcPr>
            <w:tcW w:w="709" w:type="dxa"/>
            <w:vAlign w:val="center"/>
          </w:tcPr>
          <w:p w14:paraId="3206789B">
            <w:pPr>
              <w:widowControl/>
              <w:jc w:val="center"/>
              <w:textAlignment w:val="center"/>
              <w:rPr>
                <w:rFonts w:ascii="宋体" w:hAnsi="宋体" w:cs="宋体"/>
                <w:szCs w:val="21"/>
              </w:rPr>
            </w:pPr>
            <w:r>
              <w:rPr>
                <w:rFonts w:hint="eastAsia" w:ascii="宋体" w:hAnsi="宋体" w:cs="宋体"/>
                <w:color w:val="000000"/>
                <w:kern w:val="0"/>
                <w:szCs w:val="21"/>
                <w:lang w:bidi="ar"/>
              </w:rPr>
              <w:t>2</w:t>
            </w:r>
          </w:p>
        </w:tc>
        <w:tc>
          <w:tcPr>
            <w:tcW w:w="709" w:type="dxa"/>
            <w:vAlign w:val="center"/>
          </w:tcPr>
          <w:p w14:paraId="6BE6A6D6">
            <w:pPr>
              <w:jc w:val="center"/>
              <w:rPr>
                <w:rFonts w:ascii="宋体" w:hAnsi="宋体" w:cs="宋体"/>
                <w:szCs w:val="21"/>
              </w:rPr>
            </w:pPr>
            <w:r>
              <w:rPr>
                <w:rFonts w:hint="eastAsia" w:ascii="宋体" w:hAnsi="宋体" w:cs="宋体"/>
                <w:szCs w:val="21"/>
              </w:rPr>
              <w:t>台</w:t>
            </w:r>
          </w:p>
        </w:tc>
        <w:tc>
          <w:tcPr>
            <w:tcW w:w="5611" w:type="dxa"/>
            <w:vAlign w:val="center"/>
          </w:tcPr>
          <w:p w14:paraId="237F2DAD">
            <w:pPr>
              <w:rPr>
                <w:rFonts w:ascii="宋体" w:hAnsi="宋体" w:cs="宋体"/>
                <w:szCs w:val="21"/>
              </w:rPr>
            </w:pPr>
            <w:r>
              <w:rPr>
                <w:rFonts w:hint="eastAsia" w:ascii="宋体" w:hAnsi="宋体" w:cs="宋体"/>
                <w:szCs w:val="21"/>
              </w:rPr>
              <w:t>技术参数：</w:t>
            </w:r>
            <w:r>
              <w:rPr>
                <w:rFonts w:hint="eastAsia" w:ascii="宋体" w:hAnsi="宋体" w:cs="宋体"/>
                <w:szCs w:val="21"/>
              </w:rPr>
              <w:br w:type="textWrapping"/>
            </w:r>
            <w:r>
              <w:rPr>
                <w:rFonts w:hint="eastAsia" w:ascii="宋体" w:hAnsi="宋体" w:cs="宋体"/>
                <w:szCs w:val="21"/>
              </w:rPr>
              <w:t>1、称重能力：120g</w:t>
            </w:r>
            <w:r>
              <w:rPr>
                <w:rFonts w:hint="eastAsia" w:ascii="宋体" w:hAnsi="宋体" w:cs="宋体"/>
                <w:szCs w:val="21"/>
              </w:rPr>
              <w:br w:type="textWrapping"/>
            </w:r>
            <w:r>
              <w:rPr>
                <w:rFonts w:hint="eastAsia" w:ascii="宋体" w:hAnsi="宋体" w:cs="宋体"/>
                <w:szCs w:val="21"/>
              </w:rPr>
              <w:t>2、可读性：0.1mg</w:t>
            </w:r>
            <w:r>
              <w:rPr>
                <w:rFonts w:hint="eastAsia" w:ascii="宋体" w:hAnsi="宋体" w:cs="宋体"/>
                <w:szCs w:val="21"/>
              </w:rPr>
              <w:br w:type="textWrapping"/>
            </w:r>
            <w:r>
              <w:rPr>
                <w:rFonts w:hint="eastAsia" w:ascii="宋体" w:hAnsi="宋体" w:cs="宋体"/>
                <w:szCs w:val="21"/>
              </w:rPr>
              <w:t>3、重复性：负载为5%时的典型值0.08</w:t>
            </w:r>
            <w:r>
              <w:rPr>
                <w:rFonts w:hint="eastAsia" w:ascii="宋体" w:hAnsi="宋体" w:cs="宋体"/>
                <w:szCs w:val="21"/>
              </w:rPr>
              <w:br w:type="textWrapping"/>
            </w:r>
            <w:r>
              <w:rPr>
                <w:rFonts w:hint="eastAsia" w:ascii="宋体" w:hAnsi="宋体" w:cs="宋体"/>
                <w:szCs w:val="21"/>
              </w:rPr>
              <w:t>4、灵敏度漂移：1.5ppm/K</w:t>
            </w:r>
            <w:r>
              <w:rPr>
                <w:rFonts w:hint="eastAsia" w:ascii="宋体" w:hAnsi="宋体" w:cs="宋体"/>
                <w:szCs w:val="21"/>
              </w:rPr>
              <w:br w:type="textWrapping"/>
            </w:r>
            <w:r>
              <w:rPr>
                <w:rFonts w:hint="eastAsia" w:ascii="宋体" w:hAnsi="宋体" w:cs="宋体"/>
                <w:szCs w:val="21"/>
              </w:rPr>
              <w:t>5、稳定时间：≤1.5s</w:t>
            </w:r>
          </w:p>
          <w:p w14:paraId="65896A52">
            <w:pPr>
              <w:rPr>
                <w:rFonts w:ascii="宋体" w:hAnsi="宋体" w:cs="宋体"/>
                <w:szCs w:val="21"/>
              </w:rPr>
            </w:pPr>
            <w:r>
              <w:rPr>
                <w:rFonts w:hint="eastAsia" w:ascii="宋体" w:hAnsi="宋体" w:cs="宋体"/>
                <w:szCs w:val="21"/>
              </w:rPr>
              <w:t>6、下部称量</w:t>
            </w:r>
          </w:p>
          <w:p w14:paraId="4A957740">
            <w:pPr>
              <w:rPr>
                <w:rFonts w:ascii="宋体" w:hAnsi="宋体" w:cs="宋体"/>
                <w:szCs w:val="21"/>
              </w:rPr>
            </w:pPr>
            <w:r>
              <w:rPr>
                <w:rFonts w:hint="eastAsia" w:ascii="宋体" w:hAnsi="宋体" w:cs="宋体"/>
                <w:szCs w:val="21"/>
              </w:rPr>
              <w:t>7、显示器：触摸技术的ED屏幕</w:t>
            </w:r>
          </w:p>
          <w:p w14:paraId="761882FD">
            <w:pPr>
              <w:rPr>
                <w:rFonts w:ascii="宋体" w:hAnsi="宋体" w:cs="宋体"/>
                <w:szCs w:val="21"/>
              </w:rPr>
            </w:pPr>
            <w:r>
              <w:rPr>
                <w:rFonts w:hint="eastAsia" w:ascii="宋体" w:hAnsi="宋体" w:cs="宋体"/>
                <w:szCs w:val="21"/>
              </w:rPr>
              <w:t>8、调水平：手动调水平</w:t>
            </w:r>
          </w:p>
          <w:p w14:paraId="5FC02E2B">
            <w:pPr>
              <w:rPr>
                <w:rFonts w:ascii="宋体" w:hAnsi="宋体" w:cs="宋体"/>
                <w:szCs w:val="21"/>
              </w:rPr>
            </w:pPr>
            <w:r>
              <w:rPr>
                <w:rFonts w:hint="eastAsia" w:ascii="宋体" w:hAnsi="宋体" w:cs="宋体"/>
                <w:szCs w:val="21"/>
              </w:rPr>
              <w:t>9、重复性：0.1mg</w:t>
            </w:r>
          </w:p>
          <w:p w14:paraId="3ACE2CDE">
            <w:pPr>
              <w:rPr>
                <w:rFonts w:ascii="宋体" w:hAnsi="宋体" w:cs="宋体"/>
                <w:szCs w:val="21"/>
              </w:rPr>
            </w:pPr>
            <w:r>
              <w:rPr>
                <w:rFonts w:hint="eastAsia" w:ascii="宋体" w:hAnsi="宋体" w:cs="宋体"/>
                <w:szCs w:val="21"/>
              </w:rPr>
              <w:t>10、防盗器装置：肯辛顿锁，可连接防盗锁链</w:t>
            </w:r>
          </w:p>
          <w:p w14:paraId="6E755EB9">
            <w:pPr>
              <w:rPr>
                <w:rFonts w:ascii="宋体" w:hAnsi="宋体" w:cs="宋体"/>
                <w:szCs w:val="21"/>
              </w:rPr>
            </w:pPr>
            <w:r>
              <w:rPr>
                <w:rFonts w:hint="eastAsia" w:ascii="宋体" w:hAnsi="宋体" w:cs="宋体"/>
                <w:szCs w:val="21"/>
              </w:rPr>
              <w:t>11、尺寸：216×317×345mm</w:t>
            </w:r>
          </w:p>
          <w:p w14:paraId="3C82517F">
            <w:pPr>
              <w:rPr>
                <w:rFonts w:ascii="宋体" w:hAnsi="宋体" w:cs="宋体"/>
                <w:szCs w:val="21"/>
              </w:rPr>
            </w:pPr>
            <w:r>
              <w:rPr>
                <w:rFonts w:hint="eastAsia" w:ascii="宋体" w:hAnsi="宋体" w:cs="宋体"/>
                <w:szCs w:val="21"/>
              </w:rPr>
              <w:t>12、称盘直径：90mm</w:t>
            </w:r>
          </w:p>
          <w:p w14:paraId="6167BB9F">
            <w:pPr>
              <w:rPr>
                <w:rFonts w:ascii="宋体" w:hAnsi="宋体" w:cs="宋体"/>
                <w:szCs w:val="21"/>
              </w:rPr>
            </w:pPr>
            <w:r>
              <w:rPr>
                <w:rFonts w:hint="eastAsia" w:ascii="宋体" w:hAnsi="宋体" w:cs="宋体"/>
                <w:szCs w:val="21"/>
              </w:rPr>
              <w:t>13、称量室高度：240mm</w:t>
            </w:r>
          </w:p>
          <w:p w14:paraId="58EFF39B">
            <w:pPr>
              <w:rPr>
                <w:rFonts w:ascii="宋体" w:hAnsi="宋体" w:cs="宋体"/>
                <w:szCs w:val="21"/>
              </w:rPr>
            </w:pPr>
            <w:r>
              <w:rPr>
                <w:rFonts w:hint="eastAsia" w:ascii="宋体" w:hAnsi="宋体" w:cs="宋体"/>
                <w:szCs w:val="21"/>
              </w:rPr>
              <w:t>14、数据接口：RS232，USB C</w:t>
            </w:r>
          </w:p>
          <w:p w14:paraId="36B9AD05">
            <w:pPr>
              <w:rPr>
                <w:rFonts w:ascii="宋体" w:hAnsi="宋体" w:cs="宋体"/>
                <w:szCs w:val="21"/>
              </w:rPr>
            </w:pPr>
            <w:r>
              <w:rPr>
                <w:rFonts w:hint="eastAsia" w:ascii="宋体" w:hAnsi="宋体" w:cs="宋体"/>
                <w:szCs w:val="21"/>
              </w:rPr>
              <w:t>15、外部校准砝码：100g</w:t>
            </w:r>
          </w:p>
          <w:p w14:paraId="3C1CDB4E">
            <w:pPr>
              <w:rPr>
                <w:rFonts w:ascii="宋体" w:hAnsi="宋体" w:cs="宋体"/>
                <w:szCs w:val="21"/>
                <w:u w:val="single"/>
              </w:rPr>
            </w:pPr>
            <w:r>
              <w:rPr>
                <w:rFonts w:hint="eastAsia" w:ascii="宋体" w:hAnsi="宋体" w:cs="宋体"/>
                <w:szCs w:val="21"/>
              </w:rPr>
              <w:t>16、线性：0.2mg</w:t>
            </w:r>
          </w:p>
          <w:p w14:paraId="1CCE38FC">
            <w:pPr>
              <w:rPr>
                <w:rFonts w:ascii="宋体" w:hAnsi="宋体" w:cs="宋体"/>
                <w:szCs w:val="21"/>
              </w:rPr>
            </w:pPr>
            <w:r>
              <w:rPr>
                <w:rFonts w:hint="eastAsia" w:ascii="宋体" w:hAnsi="宋体" w:cs="宋体"/>
                <w:szCs w:val="21"/>
              </w:rPr>
              <w:t>17、应用程序：动物称量，计算自由因子，计数，密度测定，百分比称重，称重，定量投放，统计，混合，峰值保持，检重，质量单位转换，地下称重</w:t>
            </w:r>
          </w:p>
        </w:tc>
      </w:tr>
      <w:tr w14:paraId="4FFD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85FAD81">
            <w:pPr>
              <w:numPr>
                <w:ilvl w:val="0"/>
                <w:numId w:val="2"/>
              </w:numPr>
              <w:ind w:left="0" w:firstLine="0"/>
              <w:jc w:val="center"/>
              <w:rPr>
                <w:rFonts w:ascii="宋体" w:hAnsi="宋体" w:cs="宋体"/>
                <w:szCs w:val="21"/>
              </w:rPr>
            </w:pPr>
          </w:p>
        </w:tc>
        <w:tc>
          <w:tcPr>
            <w:tcW w:w="1276" w:type="dxa"/>
            <w:vAlign w:val="center"/>
          </w:tcPr>
          <w:p w14:paraId="281D87FC">
            <w:pPr>
              <w:widowControl/>
              <w:jc w:val="center"/>
              <w:rPr>
                <w:rFonts w:ascii="宋体" w:hAnsi="宋体" w:cs="宋体"/>
                <w:kern w:val="0"/>
                <w:szCs w:val="21"/>
              </w:rPr>
            </w:pPr>
            <w:r>
              <w:rPr>
                <w:rFonts w:hint="eastAsia" w:ascii="宋体" w:hAnsi="宋体" w:cs="宋体"/>
                <w:szCs w:val="21"/>
              </w:rPr>
              <w:t>循环冷却仪</w:t>
            </w:r>
          </w:p>
        </w:tc>
        <w:tc>
          <w:tcPr>
            <w:tcW w:w="709" w:type="dxa"/>
            <w:vAlign w:val="center"/>
          </w:tcPr>
          <w:p w14:paraId="0FDE0237">
            <w:pPr>
              <w:widowControl/>
              <w:jc w:val="center"/>
              <w:textAlignment w:val="center"/>
              <w:rPr>
                <w:rFonts w:ascii="宋体" w:hAnsi="宋体" w:cs="宋体"/>
                <w:kern w:val="0"/>
                <w:szCs w:val="21"/>
              </w:rPr>
            </w:pPr>
            <w:r>
              <w:rPr>
                <w:rFonts w:hint="eastAsia" w:ascii="宋体" w:hAnsi="宋体" w:cs="宋体"/>
                <w:color w:val="000000"/>
                <w:kern w:val="0"/>
                <w:szCs w:val="21"/>
                <w:lang w:bidi="ar"/>
              </w:rPr>
              <w:t>6</w:t>
            </w:r>
          </w:p>
        </w:tc>
        <w:tc>
          <w:tcPr>
            <w:tcW w:w="709" w:type="dxa"/>
            <w:vAlign w:val="center"/>
          </w:tcPr>
          <w:p w14:paraId="56E6D923">
            <w:pPr>
              <w:widowControl/>
              <w:jc w:val="center"/>
              <w:rPr>
                <w:rFonts w:ascii="宋体" w:hAnsi="宋体" w:cs="宋体"/>
                <w:kern w:val="0"/>
                <w:szCs w:val="21"/>
              </w:rPr>
            </w:pPr>
            <w:r>
              <w:rPr>
                <w:rFonts w:hint="eastAsia" w:ascii="宋体" w:hAnsi="宋体" w:cs="宋体"/>
                <w:szCs w:val="21"/>
              </w:rPr>
              <w:t>台</w:t>
            </w:r>
          </w:p>
        </w:tc>
        <w:tc>
          <w:tcPr>
            <w:tcW w:w="5611" w:type="dxa"/>
            <w:vAlign w:val="center"/>
          </w:tcPr>
          <w:p w14:paraId="180870F8">
            <w:pPr>
              <w:widowControl/>
              <w:numPr>
                <w:ilvl w:val="0"/>
                <w:numId w:val="5"/>
              </w:numPr>
              <w:jc w:val="left"/>
              <w:rPr>
                <w:rFonts w:ascii="宋体" w:hAnsi="宋体" w:cs="宋体"/>
                <w:szCs w:val="21"/>
              </w:rPr>
            </w:pPr>
            <w:r>
              <w:rPr>
                <w:rFonts w:hint="eastAsia" w:ascii="宋体" w:hAnsi="宋体" w:cs="宋体"/>
                <w:szCs w:val="21"/>
              </w:rPr>
              <w:t>储液槽容积(L)：4L</w:t>
            </w:r>
          </w:p>
          <w:p w14:paraId="6761B6E6">
            <w:pPr>
              <w:widowControl/>
              <w:numPr>
                <w:ilvl w:val="0"/>
                <w:numId w:val="5"/>
              </w:numPr>
              <w:jc w:val="left"/>
              <w:rPr>
                <w:rFonts w:ascii="宋体" w:hAnsi="宋体" w:cs="宋体"/>
                <w:szCs w:val="21"/>
              </w:rPr>
            </w:pPr>
            <w:r>
              <w:rPr>
                <w:rFonts w:hint="eastAsia" w:ascii="宋体" w:hAnsi="宋体" w:cs="宋体"/>
                <w:szCs w:val="21"/>
              </w:rPr>
              <w:t>空载最低温度(℃)：-30</w:t>
            </w:r>
          </w:p>
          <w:p w14:paraId="750663EC">
            <w:pPr>
              <w:widowControl/>
              <w:numPr>
                <w:ilvl w:val="0"/>
                <w:numId w:val="5"/>
              </w:numPr>
              <w:jc w:val="left"/>
              <w:rPr>
                <w:rFonts w:ascii="宋体" w:hAnsi="宋体" w:cs="宋体"/>
                <w:szCs w:val="21"/>
              </w:rPr>
            </w:pPr>
            <w:r>
              <w:rPr>
                <w:rFonts w:hint="eastAsia" w:ascii="宋体" w:hAnsi="宋体" w:cs="宋体"/>
                <w:szCs w:val="21"/>
              </w:rPr>
              <w:t>使用温度范围(℃)：-30～常温</w:t>
            </w:r>
          </w:p>
          <w:p w14:paraId="6B2CB5AE">
            <w:pPr>
              <w:widowControl/>
              <w:numPr>
                <w:ilvl w:val="0"/>
                <w:numId w:val="5"/>
              </w:numPr>
              <w:jc w:val="left"/>
              <w:rPr>
                <w:rFonts w:ascii="宋体" w:hAnsi="宋体" w:cs="宋体"/>
                <w:szCs w:val="21"/>
              </w:rPr>
            </w:pPr>
            <w:r>
              <w:rPr>
                <w:rFonts w:hint="eastAsia" w:ascii="宋体" w:hAnsi="宋体" w:cs="宋体"/>
                <w:szCs w:val="21"/>
              </w:rPr>
              <w:t>最佳环境温度(℃)：≤25</w:t>
            </w:r>
          </w:p>
          <w:p w14:paraId="0E3AFE1D">
            <w:pPr>
              <w:widowControl/>
              <w:numPr>
                <w:ilvl w:val="0"/>
                <w:numId w:val="5"/>
              </w:numPr>
              <w:jc w:val="left"/>
              <w:rPr>
                <w:rFonts w:ascii="宋体" w:hAnsi="宋体" w:cs="宋体"/>
                <w:szCs w:val="21"/>
              </w:rPr>
            </w:pPr>
            <w:r>
              <w:rPr>
                <w:rFonts w:hint="eastAsia" w:ascii="宋体" w:hAnsi="宋体" w:cs="宋体"/>
                <w:szCs w:val="21"/>
              </w:rPr>
              <w:t>环境相对湿度(％)：≤60</w:t>
            </w:r>
          </w:p>
          <w:p w14:paraId="331EB33A">
            <w:pPr>
              <w:widowControl/>
              <w:numPr>
                <w:ilvl w:val="0"/>
                <w:numId w:val="5"/>
              </w:numPr>
              <w:jc w:val="left"/>
              <w:rPr>
                <w:rFonts w:ascii="宋体" w:hAnsi="宋体" w:cs="宋体"/>
                <w:szCs w:val="21"/>
              </w:rPr>
            </w:pPr>
            <w:r>
              <w:rPr>
                <w:rFonts w:hint="eastAsia" w:ascii="宋体" w:hAnsi="宋体" w:cs="宋体"/>
                <w:szCs w:val="21"/>
              </w:rPr>
              <w:t>电源：220V±10％    50Hz</w:t>
            </w:r>
          </w:p>
          <w:p w14:paraId="6366CBAC">
            <w:pPr>
              <w:widowControl/>
              <w:numPr>
                <w:ilvl w:val="0"/>
                <w:numId w:val="5"/>
              </w:numPr>
              <w:jc w:val="left"/>
              <w:rPr>
                <w:rFonts w:ascii="宋体" w:hAnsi="宋体" w:cs="宋体"/>
                <w:szCs w:val="21"/>
              </w:rPr>
            </w:pPr>
            <w:r>
              <w:rPr>
                <w:rFonts w:hint="eastAsia" w:ascii="宋体" w:hAnsi="宋体" w:cs="宋体"/>
                <w:szCs w:val="21"/>
              </w:rPr>
              <w:t>显示方式：液晶显示</w:t>
            </w:r>
          </w:p>
          <w:p w14:paraId="4C9D269E">
            <w:pPr>
              <w:widowControl/>
              <w:numPr>
                <w:ilvl w:val="0"/>
                <w:numId w:val="5"/>
              </w:numPr>
              <w:jc w:val="left"/>
              <w:rPr>
                <w:rFonts w:ascii="宋体" w:hAnsi="宋体" w:cs="宋体"/>
                <w:szCs w:val="21"/>
              </w:rPr>
            </w:pPr>
            <w:r>
              <w:rPr>
                <w:rFonts w:hint="eastAsia" w:ascii="宋体" w:hAnsi="宋体" w:cs="宋体"/>
                <w:szCs w:val="21"/>
              </w:rPr>
              <w:t>控温精度(℃)：±2</w:t>
            </w:r>
          </w:p>
          <w:p w14:paraId="1CB2F342">
            <w:pPr>
              <w:widowControl/>
              <w:numPr>
                <w:ilvl w:val="0"/>
                <w:numId w:val="5"/>
              </w:numPr>
              <w:jc w:val="left"/>
              <w:rPr>
                <w:rFonts w:ascii="宋体" w:hAnsi="宋体" w:cs="宋体"/>
                <w:szCs w:val="21"/>
              </w:rPr>
            </w:pPr>
            <w:r>
              <w:rPr>
                <w:rFonts w:hint="eastAsia" w:ascii="宋体" w:hAnsi="宋体" w:cs="宋体"/>
                <w:szCs w:val="21"/>
              </w:rPr>
              <w:t>传感器分度号：Pt100</w:t>
            </w:r>
          </w:p>
          <w:p w14:paraId="2D29B60E">
            <w:pPr>
              <w:widowControl/>
              <w:numPr>
                <w:ilvl w:val="0"/>
                <w:numId w:val="5"/>
              </w:numPr>
              <w:jc w:val="left"/>
              <w:rPr>
                <w:rFonts w:ascii="宋体" w:hAnsi="宋体" w:cs="宋体"/>
                <w:szCs w:val="21"/>
              </w:rPr>
            </w:pPr>
            <w:r>
              <w:rPr>
                <w:rFonts w:hint="eastAsia" w:ascii="宋体" w:hAnsi="宋体" w:cs="宋体"/>
                <w:szCs w:val="21"/>
              </w:rPr>
              <w:t>仪表调节范围(℃)：±150</w:t>
            </w:r>
          </w:p>
          <w:p w14:paraId="1AB601D3">
            <w:pPr>
              <w:widowControl/>
              <w:numPr>
                <w:ilvl w:val="0"/>
                <w:numId w:val="5"/>
              </w:numPr>
              <w:jc w:val="left"/>
              <w:rPr>
                <w:rFonts w:ascii="宋体" w:hAnsi="宋体" w:cs="宋体"/>
                <w:szCs w:val="21"/>
              </w:rPr>
            </w:pPr>
            <w:r>
              <w:rPr>
                <w:rFonts w:hint="eastAsia" w:ascii="宋体" w:hAnsi="宋体" w:cs="宋体"/>
                <w:szCs w:val="21"/>
              </w:rPr>
              <w:t>设定方式：在使用温度范围内任意设定</w:t>
            </w:r>
          </w:p>
          <w:p w14:paraId="5490AB51">
            <w:pPr>
              <w:widowControl/>
              <w:numPr>
                <w:ilvl w:val="0"/>
                <w:numId w:val="5"/>
              </w:numPr>
              <w:jc w:val="left"/>
              <w:rPr>
                <w:rFonts w:ascii="宋体" w:hAnsi="宋体" w:cs="宋体"/>
                <w:szCs w:val="21"/>
              </w:rPr>
            </w:pPr>
            <w:r>
              <w:rPr>
                <w:rFonts w:hint="eastAsia" w:ascii="宋体" w:hAnsi="宋体" w:cs="宋体"/>
                <w:szCs w:val="21"/>
              </w:rPr>
              <w:t>安全保护：延时、过电流、过热</w:t>
            </w:r>
          </w:p>
          <w:p w14:paraId="0FF581B8">
            <w:pPr>
              <w:widowControl/>
              <w:numPr>
                <w:ilvl w:val="0"/>
                <w:numId w:val="5"/>
              </w:numPr>
              <w:jc w:val="left"/>
              <w:rPr>
                <w:rFonts w:ascii="宋体" w:hAnsi="宋体" w:cs="宋体"/>
                <w:szCs w:val="21"/>
              </w:rPr>
            </w:pPr>
            <w:r>
              <w:rPr>
                <w:rFonts w:hint="eastAsia" w:ascii="宋体" w:hAnsi="宋体" w:cs="宋体"/>
                <w:szCs w:val="21"/>
              </w:rPr>
              <w:t>制冷机组 功率(W)：730</w:t>
            </w:r>
          </w:p>
          <w:p w14:paraId="3C05EC6C">
            <w:pPr>
              <w:widowControl/>
              <w:numPr>
                <w:ilvl w:val="0"/>
                <w:numId w:val="5"/>
              </w:numPr>
              <w:jc w:val="left"/>
              <w:rPr>
                <w:rFonts w:ascii="宋体" w:hAnsi="宋体" w:cs="宋体"/>
                <w:szCs w:val="21"/>
              </w:rPr>
            </w:pPr>
            <w:r>
              <w:rPr>
                <w:rFonts w:hint="eastAsia" w:ascii="宋体" w:hAnsi="宋体" w:cs="宋体"/>
                <w:szCs w:val="21"/>
              </w:rPr>
              <w:t>电流(A)：2.7</w:t>
            </w:r>
          </w:p>
          <w:p w14:paraId="149D7D94">
            <w:pPr>
              <w:widowControl/>
              <w:numPr>
                <w:ilvl w:val="0"/>
                <w:numId w:val="5"/>
              </w:numPr>
              <w:jc w:val="left"/>
              <w:rPr>
                <w:rFonts w:ascii="宋体" w:hAnsi="宋体" w:cs="宋体"/>
                <w:szCs w:val="21"/>
              </w:rPr>
            </w:pPr>
            <w:r>
              <w:rPr>
                <w:rFonts w:hint="eastAsia" w:ascii="宋体" w:hAnsi="宋体" w:cs="宋体"/>
                <w:szCs w:val="21"/>
              </w:rPr>
              <w:t>制冷剂：R290</w:t>
            </w:r>
          </w:p>
          <w:p w14:paraId="1375980F">
            <w:pPr>
              <w:widowControl/>
              <w:numPr>
                <w:ilvl w:val="0"/>
                <w:numId w:val="5"/>
              </w:numPr>
              <w:jc w:val="left"/>
              <w:rPr>
                <w:rFonts w:ascii="宋体" w:hAnsi="宋体" w:cs="宋体"/>
                <w:szCs w:val="21"/>
              </w:rPr>
            </w:pPr>
            <w:r>
              <w:rPr>
                <w:rFonts w:hint="eastAsia" w:ascii="宋体" w:hAnsi="宋体" w:cs="宋体"/>
                <w:szCs w:val="21"/>
              </w:rPr>
              <w:t>循环泵功率(W)：50</w:t>
            </w:r>
          </w:p>
          <w:p w14:paraId="4E5DAB87">
            <w:pPr>
              <w:widowControl/>
              <w:numPr>
                <w:ilvl w:val="0"/>
                <w:numId w:val="5"/>
              </w:numPr>
              <w:jc w:val="left"/>
              <w:rPr>
                <w:rFonts w:ascii="宋体" w:hAnsi="宋体" w:cs="宋体"/>
                <w:szCs w:val="21"/>
              </w:rPr>
            </w:pPr>
            <w:r>
              <w:rPr>
                <w:rFonts w:hint="eastAsia" w:ascii="宋体" w:hAnsi="宋体" w:cs="宋体"/>
                <w:szCs w:val="21"/>
              </w:rPr>
              <w:t>流量(L/min)：12</w:t>
            </w:r>
          </w:p>
          <w:p w14:paraId="2DC1EEFC">
            <w:pPr>
              <w:widowControl/>
              <w:numPr>
                <w:ilvl w:val="0"/>
                <w:numId w:val="5"/>
              </w:numPr>
              <w:jc w:val="left"/>
              <w:rPr>
                <w:rFonts w:ascii="宋体" w:hAnsi="宋体" w:cs="宋体"/>
                <w:szCs w:val="21"/>
              </w:rPr>
            </w:pPr>
            <w:r>
              <w:rPr>
                <w:rFonts w:hint="eastAsia" w:ascii="宋体" w:hAnsi="宋体" w:cs="宋体"/>
                <w:szCs w:val="21"/>
              </w:rPr>
              <w:t>扬程(m)：2.2</w:t>
            </w:r>
          </w:p>
          <w:p w14:paraId="1294D583">
            <w:pPr>
              <w:widowControl/>
              <w:numPr>
                <w:ilvl w:val="0"/>
                <w:numId w:val="5"/>
              </w:numPr>
              <w:jc w:val="left"/>
              <w:rPr>
                <w:rFonts w:ascii="宋体" w:hAnsi="宋体" w:cs="宋体"/>
                <w:szCs w:val="21"/>
              </w:rPr>
            </w:pPr>
            <w:r>
              <w:rPr>
                <w:rFonts w:hint="eastAsia" w:ascii="宋体" w:hAnsi="宋体" w:cs="宋体"/>
                <w:szCs w:val="21"/>
              </w:rPr>
              <w:t>外循环接口：循环接嘴       材质：304</w:t>
            </w:r>
          </w:p>
          <w:p w14:paraId="2E1F4FE8">
            <w:pPr>
              <w:widowControl/>
              <w:numPr>
                <w:ilvl w:val="0"/>
                <w:numId w:val="5"/>
              </w:numPr>
              <w:jc w:val="left"/>
              <w:rPr>
                <w:rFonts w:ascii="宋体" w:hAnsi="宋体" w:cs="宋体"/>
                <w:szCs w:val="21"/>
              </w:rPr>
            </w:pPr>
            <w:r>
              <w:rPr>
                <w:rFonts w:hint="eastAsia" w:ascii="宋体" w:hAnsi="宋体" w:cs="宋体"/>
                <w:szCs w:val="21"/>
              </w:rPr>
              <w:t>储液槽内径与高度(mm)：180×130mm</w:t>
            </w:r>
          </w:p>
          <w:p w14:paraId="21BCC2E0">
            <w:pPr>
              <w:widowControl/>
              <w:numPr>
                <w:ilvl w:val="0"/>
                <w:numId w:val="5"/>
              </w:numPr>
              <w:jc w:val="left"/>
              <w:rPr>
                <w:rFonts w:ascii="宋体" w:hAnsi="宋体" w:cs="宋体"/>
                <w:szCs w:val="21"/>
              </w:rPr>
            </w:pPr>
            <w:r>
              <w:rPr>
                <w:rFonts w:hint="eastAsia" w:ascii="宋体" w:hAnsi="宋体" w:cs="宋体"/>
                <w:szCs w:val="21"/>
              </w:rPr>
              <w:t>材质：1Cr18Ni9Ti</w:t>
            </w:r>
          </w:p>
          <w:p w14:paraId="09821904">
            <w:pPr>
              <w:widowControl/>
              <w:numPr>
                <w:ilvl w:val="0"/>
                <w:numId w:val="5"/>
              </w:numPr>
              <w:jc w:val="left"/>
              <w:rPr>
                <w:rFonts w:ascii="宋体" w:hAnsi="宋体" w:cs="宋体"/>
                <w:szCs w:val="21"/>
              </w:rPr>
            </w:pPr>
            <w:r>
              <w:rPr>
                <w:rFonts w:hint="eastAsia" w:ascii="宋体" w:hAnsi="宋体" w:cs="宋体"/>
                <w:szCs w:val="21"/>
              </w:rPr>
              <w:t>整机尺寸(mm)：415×223×497mm</w:t>
            </w:r>
          </w:p>
          <w:p w14:paraId="2301975D">
            <w:pPr>
              <w:widowControl/>
              <w:numPr>
                <w:ilvl w:val="0"/>
                <w:numId w:val="5"/>
              </w:numPr>
              <w:jc w:val="left"/>
              <w:rPr>
                <w:rFonts w:ascii="宋体" w:hAnsi="宋体" w:cs="宋体"/>
                <w:szCs w:val="21"/>
              </w:rPr>
            </w:pPr>
            <w:r>
              <w:rPr>
                <w:rFonts w:hint="eastAsia" w:ascii="宋体" w:hAnsi="宋体" w:cs="宋体"/>
                <w:szCs w:val="21"/>
              </w:rPr>
              <w:t>整机重量(kg)：30</w:t>
            </w:r>
          </w:p>
          <w:p w14:paraId="3A4F09FC">
            <w:pPr>
              <w:widowControl/>
              <w:numPr>
                <w:ilvl w:val="0"/>
                <w:numId w:val="5"/>
              </w:numPr>
              <w:jc w:val="left"/>
              <w:rPr>
                <w:rFonts w:ascii="宋体" w:hAnsi="宋体" w:cs="宋体"/>
                <w:kern w:val="0"/>
                <w:szCs w:val="21"/>
              </w:rPr>
            </w:pPr>
            <w:r>
              <w:rPr>
                <w:rFonts w:hint="eastAsia" w:ascii="宋体" w:hAnsi="宋体" w:cs="宋体"/>
                <w:szCs w:val="21"/>
              </w:rPr>
              <w:t>配件：保温管：1根  3600mm  文件：说明书1份</w:t>
            </w:r>
          </w:p>
        </w:tc>
      </w:tr>
      <w:tr w14:paraId="6E1A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BA4A275">
            <w:pPr>
              <w:numPr>
                <w:ilvl w:val="0"/>
                <w:numId w:val="2"/>
              </w:numPr>
              <w:ind w:left="0" w:firstLine="0"/>
              <w:jc w:val="center"/>
              <w:rPr>
                <w:rFonts w:ascii="宋体" w:hAnsi="宋体" w:cs="宋体"/>
                <w:szCs w:val="21"/>
              </w:rPr>
            </w:pPr>
          </w:p>
        </w:tc>
        <w:tc>
          <w:tcPr>
            <w:tcW w:w="1276" w:type="dxa"/>
            <w:vAlign w:val="center"/>
          </w:tcPr>
          <w:p w14:paraId="670B083D">
            <w:pPr>
              <w:jc w:val="center"/>
              <w:rPr>
                <w:rFonts w:ascii="宋体" w:hAnsi="宋体" w:cs="宋体"/>
                <w:szCs w:val="21"/>
              </w:rPr>
            </w:pPr>
            <w:r>
              <w:rPr>
                <w:rFonts w:hint="eastAsia" w:ascii="宋体" w:hAnsi="宋体" w:cs="宋体"/>
                <w:szCs w:val="21"/>
              </w:rPr>
              <w:t>鼓风干燥箱</w:t>
            </w:r>
          </w:p>
        </w:tc>
        <w:tc>
          <w:tcPr>
            <w:tcW w:w="709" w:type="dxa"/>
            <w:vAlign w:val="center"/>
          </w:tcPr>
          <w:p w14:paraId="1F940C4E">
            <w:pPr>
              <w:widowControl/>
              <w:jc w:val="center"/>
              <w:textAlignment w:val="center"/>
              <w:rPr>
                <w:rFonts w:ascii="宋体" w:hAnsi="宋体" w:cs="宋体"/>
                <w:szCs w:val="21"/>
              </w:rPr>
            </w:pPr>
            <w:r>
              <w:rPr>
                <w:rFonts w:hint="eastAsia" w:ascii="宋体" w:hAnsi="宋体" w:cs="宋体"/>
                <w:color w:val="000000"/>
                <w:kern w:val="0"/>
                <w:szCs w:val="21"/>
                <w:lang w:bidi="ar"/>
              </w:rPr>
              <w:t>1</w:t>
            </w:r>
          </w:p>
        </w:tc>
        <w:tc>
          <w:tcPr>
            <w:tcW w:w="709" w:type="dxa"/>
            <w:vAlign w:val="center"/>
          </w:tcPr>
          <w:p w14:paraId="4FE53660">
            <w:pPr>
              <w:jc w:val="center"/>
              <w:rPr>
                <w:rFonts w:ascii="宋体" w:hAnsi="宋体" w:cs="宋体"/>
                <w:szCs w:val="21"/>
              </w:rPr>
            </w:pPr>
            <w:r>
              <w:rPr>
                <w:rFonts w:hint="eastAsia" w:ascii="宋体" w:hAnsi="宋体" w:cs="宋体"/>
                <w:szCs w:val="21"/>
              </w:rPr>
              <w:t>台</w:t>
            </w:r>
          </w:p>
        </w:tc>
        <w:tc>
          <w:tcPr>
            <w:tcW w:w="5611" w:type="dxa"/>
            <w:vAlign w:val="center"/>
          </w:tcPr>
          <w:p w14:paraId="2EF30448">
            <w:pPr>
              <w:numPr>
                <w:ilvl w:val="0"/>
                <w:numId w:val="6"/>
              </w:numPr>
              <w:rPr>
                <w:rFonts w:ascii="宋体" w:hAnsi="宋体" w:cs="宋体"/>
                <w:szCs w:val="21"/>
              </w:rPr>
            </w:pPr>
            <w:r>
              <w:rPr>
                <w:rFonts w:hint="eastAsia" w:ascii="宋体" w:hAnsi="宋体" w:cs="宋体"/>
                <w:szCs w:val="21"/>
              </w:rPr>
              <w:t>电压：AC220V 50Hz；</w:t>
            </w:r>
          </w:p>
          <w:p w14:paraId="248C4135">
            <w:pPr>
              <w:numPr>
                <w:ilvl w:val="0"/>
                <w:numId w:val="6"/>
              </w:numPr>
              <w:rPr>
                <w:rFonts w:ascii="宋体" w:hAnsi="宋体" w:cs="宋体"/>
                <w:szCs w:val="21"/>
              </w:rPr>
            </w:pPr>
            <w:r>
              <w:rPr>
                <w:rFonts w:hint="eastAsia" w:ascii="宋体" w:hAnsi="宋体" w:cs="宋体"/>
                <w:szCs w:val="21"/>
              </w:rPr>
              <w:t>控温范围：RT+10～300℃;</w:t>
            </w:r>
          </w:p>
          <w:p w14:paraId="38C6A7FA">
            <w:pPr>
              <w:numPr>
                <w:ilvl w:val="0"/>
                <w:numId w:val="6"/>
              </w:numPr>
              <w:rPr>
                <w:rFonts w:ascii="宋体" w:hAnsi="宋体" w:cs="宋体"/>
                <w:szCs w:val="21"/>
              </w:rPr>
            </w:pPr>
            <w:r>
              <w:rPr>
                <w:rFonts w:hint="eastAsia" w:ascii="宋体" w:hAnsi="宋体" w:cs="宋体"/>
                <w:szCs w:val="21"/>
              </w:rPr>
              <w:t>功率：2450W：</w:t>
            </w:r>
          </w:p>
          <w:p w14:paraId="35FE2B8F">
            <w:pPr>
              <w:numPr>
                <w:ilvl w:val="0"/>
                <w:numId w:val="6"/>
              </w:numPr>
              <w:rPr>
                <w:rFonts w:ascii="宋体" w:hAnsi="宋体" w:cs="宋体"/>
                <w:szCs w:val="21"/>
              </w:rPr>
            </w:pPr>
            <w:r>
              <w:rPr>
                <w:rFonts w:hint="eastAsia" w:ascii="宋体" w:hAnsi="宋体" w:cs="宋体"/>
                <w:szCs w:val="21"/>
              </w:rPr>
              <w:t>隔板：2；</w:t>
            </w:r>
          </w:p>
          <w:p w14:paraId="6D6B8BAE">
            <w:pPr>
              <w:numPr>
                <w:ilvl w:val="0"/>
                <w:numId w:val="6"/>
              </w:numPr>
              <w:rPr>
                <w:rFonts w:ascii="宋体" w:hAnsi="宋体" w:cs="宋体"/>
                <w:szCs w:val="21"/>
              </w:rPr>
            </w:pPr>
            <w:r>
              <w:rPr>
                <w:rFonts w:hint="eastAsia" w:ascii="宋体" w:hAnsi="宋体" w:cs="宋体"/>
                <w:szCs w:val="21"/>
              </w:rPr>
              <w:t>内胆尺寸：600*500*750mm；容量：220L</w:t>
            </w:r>
          </w:p>
        </w:tc>
      </w:tr>
      <w:tr w14:paraId="198C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3D24DE9">
            <w:pPr>
              <w:numPr>
                <w:ilvl w:val="0"/>
                <w:numId w:val="2"/>
              </w:numPr>
              <w:ind w:left="0" w:firstLine="0"/>
              <w:jc w:val="center"/>
              <w:rPr>
                <w:rFonts w:ascii="宋体" w:hAnsi="宋体" w:cs="宋体"/>
                <w:szCs w:val="21"/>
              </w:rPr>
            </w:pPr>
          </w:p>
        </w:tc>
        <w:tc>
          <w:tcPr>
            <w:tcW w:w="1276" w:type="dxa"/>
            <w:vAlign w:val="center"/>
          </w:tcPr>
          <w:p w14:paraId="40AF0BF4">
            <w:pPr>
              <w:jc w:val="center"/>
              <w:rPr>
                <w:rFonts w:ascii="宋体" w:hAnsi="宋体" w:cs="宋体"/>
                <w:szCs w:val="21"/>
              </w:rPr>
            </w:pPr>
            <w:r>
              <w:rPr>
                <w:rFonts w:hint="eastAsia" w:ascii="宋体" w:hAnsi="宋体" w:cs="宋体"/>
                <w:szCs w:val="21"/>
              </w:rPr>
              <w:t>视频熔点仪</w:t>
            </w:r>
          </w:p>
        </w:tc>
        <w:tc>
          <w:tcPr>
            <w:tcW w:w="709" w:type="dxa"/>
            <w:vAlign w:val="center"/>
          </w:tcPr>
          <w:p w14:paraId="011CB1CC">
            <w:pPr>
              <w:widowControl/>
              <w:jc w:val="center"/>
              <w:textAlignment w:val="center"/>
              <w:rPr>
                <w:rFonts w:ascii="宋体" w:hAnsi="宋体" w:cs="宋体"/>
                <w:szCs w:val="21"/>
              </w:rPr>
            </w:pPr>
            <w:r>
              <w:rPr>
                <w:rFonts w:hint="eastAsia" w:ascii="宋体" w:hAnsi="宋体" w:cs="宋体"/>
                <w:color w:val="000000"/>
                <w:kern w:val="0"/>
                <w:szCs w:val="21"/>
                <w:lang w:bidi="ar"/>
              </w:rPr>
              <w:t>4</w:t>
            </w:r>
          </w:p>
        </w:tc>
        <w:tc>
          <w:tcPr>
            <w:tcW w:w="709" w:type="dxa"/>
            <w:vAlign w:val="center"/>
          </w:tcPr>
          <w:p w14:paraId="5BA24D1D">
            <w:pPr>
              <w:jc w:val="center"/>
              <w:rPr>
                <w:rFonts w:ascii="宋体" w:hAnsi="宋体" w:cs="宋体"/>
                <w:szCs w:val="21"/>
              </w:rPr>
            </w:pPr>
            <w:r>
              <w:rPr>
                <w:rFonts w:hint="eastAsia" w:ascii="宋体" w:hAnsi="宋体" w:cs="宋体"/>
                <w:szCs w:val="21"/>
              </w:rPr>
              <w:t>台</w:t>
            </w:r>
          </w:p>
        </w:tc>
        <w:tc>
          <w:tcPr>
            <w:tcW w:w="5611" w:type="dxa"/>
            <w:vAlign w:val="center"/>
          </w:tcPr>
          <w:p w14:paraId="34DD1822">
            <w:pPr>
              <w:rPr>
                <w:rFonts w:ascii="宋体" w:hAnsi="宋体" w:cs="宋体"/>
                <w:szCs w:val="21"/>
              </w:rPr>
            </w:pPr>
            <w:r>
              <w:rPr>
                <w:rFonts w:hint="eastAsia" w:ascii="宋体" w:hAnsi="宋体" w:cs="宋体"/>
                <w:szCs w:val="21"/>
              </w:rPr>
              <w:t>1、技术参数</w:t>
            </w:r>
          </w:p>
          <w:p w14:paraId="58898CCA">
            <w:pPr>
              <w:rPr>
                <w:rFonts w:ascii="宋体" w:hAnsi="宋体" w:cs="宋体"/>
                <w:szCs w:val="21"/>
              </w:rPr>
            </w:pPr>
            <w:r>
              <w:rPr>
                <w:rFonts w:hint="eastAsia" w:ascii="宋体" w:hAnsi="宋体" w:cs="宋体"/>
                <w:szCs w:val="21"/>
              </w:rPr>
              <w:t xml:space="preserve">1.1 温度范围：室温-420℃ </w:t>
            </w:r>
          </w:p>
          <w:p w14:paraId="4EA01557">
            <w:pPr>
              <w:rPr>
                <w:rFonts w:ascii="宋体" w:hAnsi="宋体" w:cs="宋体"/>
                <w:szCs w:val="21"/>
              </w:rPr>
            </w:pPr>
            <w:r>
              <w:rPr>
                <w:rFonts w:hint="eastAsia" w:ascii="宋体" w:hAnsi="宋体" w:cs="宋体"/>
                <w:szCs w:val="21"/>
              </w:rPr>
              <w:t>1.2 检测方式:全自动（兼容手动）</w:t>
            </w:r>
          </w:p>
          <w:p w14:paraId="2D98F7A0">
            <w:pPr>
              <w:rPr>
                <w:rFonts w:ascii="宋体" w:hAnsi="宋体" w:cs="宋体"/>
                <w:szCs w:val="21"/>
              </w:rPr>
            </w:pPr>
            <w:r>
              <w:rPr>
                <w:rFonts w:hint="eastAsia" w:ascii="宋体" w:hAnsi="宋体" w:cs="宋体"/>
                <w:szCs w:val="21"/>
              </w:rPr>
              <w:t>1.3 处理能力：≥4个/批</w:t>
            </w:r>
          </w:p>
          <w:p w14:paraId="6F410EFB">
            <w:pPr>
              <w:rPr>
                <w:rFonts w:ascii="宋体" w:hAnsi="宋体" w:cs="宋体"/>
                <w:szCs w:val="21"/>
              </w:rPr>
            </w:pPr>
            <w:r>
              <w:rPr>
                <w:rFonts w:hint="eastAsia" w:ascii="宋体" w:hAnsi="宋体" w:cs="宋体"/>
                <w:szCs w:val="21"/>
              </w:rPr>
              <w:t>★1.4 检测光源调整功能：检测光源可以自动调整</w:t>
            </w:r>
          </w:p>
          <w:p w14:paraId="3D3BCCBF">
            <w:pPr>
              <w:rPr>
                <w:rFonts w:ascii="宋体" w:hAnsi="宋体" w:cs="宋体"/>
                <w:szCs w:val="21"/>
              </w:rPr>
            </w:pPr>
            <w:r>
              <w:rPr>
                <w:rFonts w:hint="eastAsia" w:ascii="宋体" w:hAnsi="宋体" w:cs="宋体"/>
                <w:szCs w:val="21"/>
              </w:rPr>
              <w:t>1.5 升温速率：0.1℃--20℃ （200档 无极可调）</w:t>
            </w:r>
          </w:p>
          <w:p w14:paraId="3C53CF0F">
            <w:pPr>
              <w:rPr>
                <w:rFonts w:ascii="宋体" w:hAnsi="宋体" w:cs="宋体"/>
                <w:szCs w:val="21"/>
              </w:rPr>
            </w:pPr>
            <w:r>
              <w:rPr>
                <w:rFonts w:hint="eastAsia" w:ascii="宋体" w:hAnsi="宋体" w:cs="宋体"/>
                <w:szCs w:val="21"/>
              </w:rPr>
              <w:t>1.6 控温方式：PID精确控温 炉体全密闭设计</w:t>
            </w:r>
          </w:p>
          <w:p w14:paraId="76E26540">
            <w:pPr>
              <w:rPr>
                <w:rFonts w:ascii="宋体" w:hAnsi="宋体" w:cs="宋体"/>
                <w:szCs w:val="21"/>
              </w:rPr>
            </w:pPr>
            <w:r>
              <w:rPr>
                <w:rFonts w:hint="eastAsia" w:ascii="宋体" w:hAnsi="宋体" w:cs="宋体"/>
                <w:szCs w:val="21"/>
              </w:rPr>
              <w:t>★1.7 炉体结构：三大孔一小孔</w:t>
            </w:r>
          </w:p>
          <w:p w14:paraId="49D2463C">
            <w:pPr>
              <w:rPr>
                <w:rFonts w:ascii="宋体" w:hAnsi="宋体" w:cs="宋体"/>
                <w:szCs w:val="21"/>
              </w:rPr>
            </w:pPr>
            <w:r>
              <w:rPr>
                <w:rFonts w:hint="eastAsia" w:ascii="宋体" w:hAnsi="宋体" w:cs="宋体"/>
                <w:szCs w:val="21"/>
              </w:rPr>
              <w:t>1.8 温度分辨率：0.01℃</w:t>
            </w:r>
          </w:p>
          <w:p w14:paraId="0F31550D">
            <w:pPr>
              <w:rPr>
                <w:rFonts w:ascii="宋体" w:hAnsi="宋体" w:cs="宋体"/>
                <w:szCs w:val="21"/>
              </w:rPr>
            </w:pPr>
            <w:r>
              <w:rPr>
                <w:rFonts w:hint="eastAsia" w:ascii="宋体" w:hAnsi="宋体" w:cs="宋体"/>
                <w:szCs w:val="21"/>
              </w:rPr>
              <w:t>1.9 升温速率：：0.1℃/Min-：20℃/Min</w:t>
            </w:r>
          </w:p>
          <w:p w14:paraId="565A3203">
            <w:pPr>
              <w:rPr>
                <w:rFonts w:ascii="宋体" w:hAnsi="宋体" w:cs="宋体"/>
                <w:szCs w:val="21"/>
              </w:rPr>
            </w:pPr>
            <w:r>
              <w:rPr>
                <w:rFonts w:hint="eastAsia" w:ascii="宋体" w:hAnsi="宋体" w:cs="宋体"/>
                <w:szCs w:val="21"/>
              </w:rPr>
              <w:t>1.10 准确度：±0.2℃（&lt;200℃）</w:t>
            </w:r>
          </w:p>
          <w:p w14:paraId="1E2B57CA">
            <w:pPr>
              <w:rPr>
                <w:rFonts w:ascii="宋体" w:hAnsi="宋体" w:cs="宋体"/>
                <w:szCs w:val="21"/>
              </w:rPr>
            </w:pPr>
            <w:r>
              <w:rPr>
                <w:rFonts w:hint="eastAsia" w:ascii="宋体" w:hAnsi="宋体" w:cs="宋体"/>
                <w:szCs w:val="21"/>
              </w:rPr>
              <w:t>±0.4℃（&gt;200℃）</w:t>
            </w:r>
          </w:p>
          <w:p w14:paraId="07F6AE5F">
            <w:pPr>
              <w:rPr>
                <w:rFonts w:ascii="宋体" w:hAnsi="宋体" w:cs="宋体"/>
                <w:szCs w:val="21"/>
              </w:rPr>
            </w:pPr>
            <w:r>
              <w:rPr>
                <w:rFonts w:hint="eastAsia" w:ascii="宋体" w:hAnsi="宋体" w:cs="宋体"/>
                <w:szCs w:val="21"/>
              </w:rPr>
              <w:t>1.11 图谱：自动根据升温速率调节图谱进程，有图谱缩放功能</w:t>
            </w:r>
          </w:p>
          <w:p w14:paraId="1FD689CF">
            <w:pPr>
              <w:rPr>
                <w:rFonts w:ascii="宋体" w:hAnsi="宋体" w:cs="宋体"/>
                <w:szCs w:val="21"/>
              </w:rPr>
            </w:pPr>
            <w:r>
              <w:rPr>
                <w:rFonts w:hint="eastAsia" w:ascii="宋体" w:hAnsi="宋体" w:cs="宋体"/>
                <w:szCs w:val="21"/>
              </w:rPr>
              <w:t>1.12 视频功能：高清摄像头观察样品熔融状态，拍照与摄像，视频可回放带有时间和温度水印，图谱保存和回放，可无人值守</w:t>
            </w:r>
          </w:p>
          <w:p w14:paraId="6EEF1A88">
            <w:pPr>
              <w:rPr>
                <w:rFonts w:ascii="宋体" w:hAnsi="宋体" w:cs="宋体"/>
                <w:szCs w:val="21"/>
              </w:rPr>
            </w:pPr>
            <w:r>
              <w:rPr>
                <w:rFonts w:hint="eastAsia" w:ascii="宋体" w:hAnsi="宋体" w:cs="宋体"/>
                <w:szCs w:val="21"/>
              </w:rPr>
              <w:t>1.13 放大倍数：20倍</w:t>
            </w:r>
          </w:p>
          <w:p w14:paraId="56B5D5F7">
            <w:pPr>
              <w:rPr>
                <w:rFonts w:ascii="宋体" w:hAnsi="宋体" w:cs="宋体"/>
                <w:szCs w:val="21"/>
              </w:rPr>
            </w:pPr>
            <w:r>
              <w:rPr>
                <w:rFonts w:hint="eastAsia" w:ascii="宋体" w:hAnsi="宋体" w:cs="宋体"/>
                <w:szCs w:val="21"/>
              </w:rPr>
              <w:t>1.14用户管理个数：100个以上 分级权限管理4级</w:t>
            </w:r>
          </w:p>
          <w:p w14:paraId="0FE568A9">
            <w:pPr>
              <w:rPr>
                <w:rFonts w:ascii="宋体" w:hAnsi="宋体" w:cs="宋体"/>
                <w:szCs w:val="21"/>
              </w:rPr>
            </w:pPr>
            <w:r>
              <w:rPr>
                <w:rFonts w:hint="eastAsia" w:ascii="宋体" w:hAnsi="宋体" w:cs="宋体"/>
                <w:szCs w:val="21"/>
              </w:rPr>
              <w:t>1.15 账号管理：账户名称可改，密码忘记可管理员找回密码或者重新设置密；用户账户有冻解启停功能</w:t>
            </w:r>
          </w:p>
          <w:p w14:paraId="0227A4F8">
            <w:pPr>
              <w:rPr>
                <w:rFonts w:ascii="宋体" w:hAnsi="宋体" w:cs="宋体"/>
                <w:szCs w:val="21"/>
              </w:rPr>
            </w:pPr>
            <w:r>
              <w:rPr>
                <w:rFonts w:hint="eastAsia" w:ascii="宋体" w:hAnsi="宋体" w:cs="宋体"/>
                <w:szCs w:val="21"/>
              </w:rPr>
              <w:t>1.16 透光率设置：方法可以根据样品不同设置光通量，提高测量精度（</w:t>
            </w:r>
            <w:r>
              <w:rPr>
                <w:rFonts w:hint="eastAsia" w:ascii="宋体" w:hAnsi="宋体" w:cs="宋体"/>
                <w:b/>
                <w:bCs/>
                <w:szCs w:val="21"/>
              </w:rPr>
              <w:t>提供相应软件证明截图</w:t>
            </w:r>
            <w:r>
              <w:rPr>
                <w:rFonts w:hint="eastAsia" w:ascii="宋体" w:hAnsi="宋体" w:cs="宋体"/>
                <w:szCs w:val="21"/>
              </w:rPr>
              <w:t>）</w:t>
            </w:r>
          </w:p>
          <w:p w14:paraId="2F2A8C2B">
            <w:pPr>
              <w:rPr>
                <w:rFonts w:ascii="宋体" w:hAnsi="宋体" w:cs="宋体"/>
                <w:szCs w:val="21"/>
              </w:rPr>
            </w:pPr>
            <w:r>
              <w:rPr>
                <w:rFonts w:hint="eastAsia" w:ascii="宋体" w:hAnsi="宋体" w:cs="宋体"/>
                <w:szCs w:val="21"/>
              </w:rPr>
              <w:t>1.17 存储空间：128硬盘</w:t>
            </w:r>
          </w:p>
          <w:p w14:paraId="2C8F0B70">
            <w:pPr>
              <w:rPr>
                <w:rFonts w:ascii="宋体" w:hAnsi="宋体" w:cs="宋体"/>
                <w:szCs w:val="21"/>
              </w:rPr>
            </w:pPr>
            <w:r>
              <w:rPr>
                <w:rFonts w:hint="eastAsia" w:ascii="宋体" w:hAnsi="宋体" w:cs="宋体"/>
                <w:szCs w:val="21"/>
              </w:rPr>
              <w:t>1.18 试验方法：有（可测试深颜色样品）</w:t>
            </w:r>
          </w:p>
          <w:p w14:paraId="5BAE230D">
            <w:pPr>
              <w:rPr>
                <w:rFonts w:ascii="宋体" w:hAnsi="宋体" w:cs="宋体"/>
                <w:szCs w:val="21"/>
              </w:rPr>
            </w:pPr>
            <w:r>
              <w:rPr>
                <w:rFonts w:hint="eastAsia" w:ascii="宋体" w:hAnsi="宋体" w:cs="宋体"/>
                <w:szCs w:val="21"/>
              </w:rPr>
              <w:t>1.19 校正：支持六点温度自动校准功能（并提供相应软件证明截图）</w:t>
            </w:r>
          </w:p>
          <w:p w14:paraId="2CB3B98C">
            <w:pPr>
              <w:rPr>
                <w:rFonts w:ascii="宋体" w:hAnsi="宋体" w:cs="宋体"/>
                <w:szCs w:val="21"/>
              </w:rPr>
            </w:pPr>
            <w:r>
              <w:rPr>
                <w:rFonts w:hint="eastAsia" w:ascii="宋体" w:hAnsi="宋体" w:cs="宋体"/>
                <w:szCs w:val="21"/>
              </w:rPr>
              <w:t>1.20 数据上传：仪器可以与电脑无线连接，数据和图谱上传电脑备份和打印</w:t>
            </w:r>
          </w:p>
          <w:p w14:paraId="5F05747A">
            <w:pPr>
              <w:rPr>
                <w:rFonts w:ascii="宋体" w:hAnsi="宋体" w:cs="宋体"/>
                <w:szCs w:val="21"/>
              </w:rPr>
            </w:pPr>
            <w:r>
              <w:rPr>
                <w:rFonts w:hint="eastAsia" w:ascii="宋体" w:hAnsi="宋体" w:cs="宋体"/>
                <w:szCs w:val="21"/>
              </w:rPr>
              <w:t>1.21 网    络：无线WIFI</w:t>
            </w:r>
          </w:p>
          <w:p w14:paraId="26082E9D">
            <w:pPr>
              <w:rPr>
                <w:rFonts w:ascii="宋体" w:hAnsi="宋体" w:cs="宋体"/>
                <w:szCs w:val="21"/>
              </w:rPr>
            </w:pPr>
            <w:r>
              <w:rPr>
                <w:rFonts w:hint="eastAsia" w:ascii="宋体" w:hAnsi="宋体" w:cs="宋体"/>
                <w:szCs w:val="21"/>
              </w:rPr>
              <w:t>1.22 审计追踪：有</w:t>
            </w:r>
          </w:p>
          <w:p w14:paraId="0B049722">
            <w:pPr>
              <w:rPr>
                <w:rFonts w:ascii="宋体" w:hAnsi="宋体" w:cs="宋体"/>
                <w:szCs w:val="21"/>
              </w:rPr>
            </w:pPr>
            <w:r>
              <w:rPr>
                <w:rFonts w:hint="eastAsia" w:ascii="宋体" w:hAnsi="宋体" w:cs="宋体"/>
                <w:szCs w:val="21"/>
              </w:rPr>
              <w:t>1.23 显示方式：不小于10.4寸高清彩屏</w:t>
            </w:r>
          </w:p>
          <w:p w14:paraId="469FEAA2">
            <w:pPr>
              <w:rPr>
                <w:rFonts w:ascii="宋体" w:hAnsi="宋体" w:cs="宋体"/>
                <w:szCs w:val="21"/>
              </w:rPr>
            </w:pPr>
            <w:r>
              <w:rPr>
                <w:rFonts w:hint="eastAsia" w:ascii="宋体" w:hAnsi="宋体" w:cs="宋体"/>
                <w:szCs w:val="21"/>
              </w:rPr>
              <w:t>1.24 数据接口：USB，网络WiFi接口，RS232</w:t>
            </w:r>
          </w:p>
          <w:p w14:paraId="3BF0E8D7">
            <w:pPr>
              <w:rPr>
                <w:rFonts w:ascii="宋体" w:hAnsi="宋体" w:cs="宋体"/>
                <w:szCs w:val="21"/>
              </w:rPr>
            </w:pPr>
            <w:r>
              <w:rPr>
                <w:rFonts w:hint="eastAsia" w:ascii="宋体" w:hAnsi="宋体" w:cs="宋体"/>
                <w:szCs w:val="21"/>
              </w:rPr>
              <w:t>1.25 数据输出形式：PDF格式和EXCL数据</w:t>
            </w:r>
          </w:p>
          <w:p w14:paraId="5879B220">
            <w:pPr>
              <w:rPr>
                <w:rFonts w:ascii="宋体" w:hAnsi="宋体" w:cs="宋体"/>
                <w:szCs w:val="21"/>
              </w:rPr>
            </w:pPr>
            <w:r>
              <w:rPr>
                <w:rFonts w:hint="eastAsia" w:ascii="宋体" w:hAnsi="宋体" w:cs="宋体"/>
                <w:szCs w:val="21"/>
              </w:rPr>
              <w:t>1.26 数据溢出提醒：提前自动提醒</w:t>
            </w:r>
          </w:p>
          <w:p w14:paraId="7D709A9D">
            <w:pPr>
              <w:rPr>
                <w:rFonts w:ascii="宋体" w:hAnsi="宋体" w:cs="宋体"/>
                <w:szCs w:val="21"/>
              </w:rPr>
            </w:pPr>
            <w:r>
              <w:rPr>
                <w:rFonts w:hint="eastAsia" w:ascii="宋体" w:hAnsi="宋体" w:cs="宋体"/>
                <w:szCs w:val="21"/>
              </w:rPr>
              <w:t>1.27 打印机：激光打印机或针式（兼容）</w:t>
            </w:r>
          </w:p>
          <w:p w14:paraId="154EF8A2">
            <w:pPr>
              <w:rPr>
                <w:rFonts w:ascii="宋体" w:hAnsi="宋体" w:cs="宋体"/>
                <w:szCs w:val="21"/>
              </w:rPr>
            </w:pPr>
            <w:r>
              <w:rPr>
                <w:rFonts w:hint="eastAsia" w:ascii="宋体" w:hAnsi="宋体" w:cs="宋体"/>
                <w:szCs w:val="21"/>
              </w:rPr>
              <w:t>1.28 毛细管尺寸: 外径φ1.4mm，内径:φ1.0mm和外径φ4mm，内径:φ3.6mm</w:t>
            </w:r>
          </w:p>
          <w:p w14:paraId="71B2E605">
            <w:pPr>
              <w:rPr>
                <w:rFonts w:ascii="宋体" w:hAnsi="宋体" w:cs="宋体"/>
                <w:szCs w:val="21"/>
              </w:rPr>
            </w:pPr>
            <w:r>
              <w:rPr>
                <w:rFonts w:hint="eastAsia" w:ascii="宋体" w:hAnsi="宋体" w:cs="宋体"/>
                <w:szCs w:val="21"/>
              </w:rPr>
              <w:t>1.29 电源：220V  50HZ  功率：120</w:t>
            </w:r>
          </w:p>
        </w:tc>
      </w:tr>
    </w:tbl>
    <w:p w14:paraId="5CF44A26">
      <w:pPr>
        <w:pStyle w:val="17"/>
        <w:rPr>
          <w:rFonts w:hint="eastAsia"/>
          <w:b/>
          <w:bCs/>
          <w:sz w:val="24"/>
        </w:rPr>
      </w:pPr>
    </w:p>
    <w:p w14:paraId="464220D4">
      <w:pPr>
        <w:pStyle w:val="17"/>
        <w:rPr>
          <w:b/>
          <w:bCs/>
          <w:sz w:val="24"/>
        </w:rPr>
        <w:sectPr>
          <w:footerReference r:id="rId9" w:type="default"/>
          <w:pgSz w:w="11905" w:h="16838"/>
          <w:pgMar w:top="1440" w:right="1417" w:bottom="1440" w:left="1417" w:header="850" w:footer="850" w:gutter="0"/>
          <w:cols w:space="720" w:num="1"/>
          <w:docGrid w:type="lines" w:linePitch="332" w:charSpace="0"/>
        </w:sectPr>
      </w:pPr>
    </w:p>
    <w:p w14:paraId="33C1119A">
      <w:pPr>
        <w:pStyle w:val="17"/>
        <w:rPr>
          <w:rFonts w:hint="eastAsia" w:ascii="宋体" w:hAnsi="宋体" w:cs="宋体"/>
          <w:b/>
          <w:bCs/>
          <w:sz w:val="24"/>
        </w:rPr>
      </w:pPr>
      <w:r>
        <w:rPr>
          <w:rFonts w:hint="eastAsia" w:ascii="宋体" w:hAnsi="宋体" w:cs="宋体"/>
          <w:b/>
          <w:bCs/>
          <w:sz w:val="24"/>
        </w:rPr>
        <w:t>★二、商务要求：</w:t>
      </w:r>
    </w:p>
    <w:tbl>
      <w:tblPr>
        <w:tblStyle w:val="25"/>
        <w:tblW w:w="9690"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770"/>
        <w:gridCol w:w="6856"/>
      </w:tblGrid>
      <w:tr w14:paraId="7B86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064" w:type="dxa"/>
            <w:vAlign w:val="center"/>
          </w:tcPr>
          <w:p w14:paraId="43B63FF2">
            <w:pPr>
              <w:spacing w:line="360" w:lineRule="auto"/>
              <w:jc w:val="center"/>
              <w:rPr>
                <w:rFonts w:ascii="宋体" w:hAnsi="宋体" w:cs="宋体"/>
                <w:szCs w:val="21"/>
              </w:rPr>
            </w:pPr>
            <w:r>
              <w:rPr>
                <w:rFonts w:hint="eastAsia" w:ascii="宋体" w:hAnsi="宋体" w:cs="宋体"/>
                <w:szCs w:val="21"/>
              </w:rPr>
              <w:t>1</w:t>
            </w:r>
          </w:p>
        </w:tc>
        <w:tc>
          <w:tcPr>
            <w:tcW w:w="1770" w:type="dxa"/>
            <w:vAlign w:val="center"/>
          </w:tcPr>
          <w:p w14:paraId="3C52B04D">
            <w:pPr>
              <w:spacing w:line="360" w:lineRule="auto"/>
              <w:jc w:val="center"/>
              <w:rPr>
                <w:rFonts w:ascii="宋体" w:hAnsi="宋体" w:cs="宋体"/>
                <w:szCs w:val="21"/>
              </w:rPr>
            </w:pPr>
            <w:r>
              <w:rPr>
                <w:rFonts w:hint="eastAsia" w:ascii="宋体" w:hAnsi="宋体" w:cs="宋体"/>
                <w:szCs w:val="21"/>
              </w:rPr>
              <w:t>合同签订日期</w:t>
            </w:r>
          </w:p>
        </w:tc>
        <w:tc>
          <w:tcPr>
            <w:tcW w:w="6856" w:type="dxa"/>
            <w:vAlign w:val="center"/>
          </w:tcPr>
          <w:p w14:paraId="5886CC99">
            <w:pPr>
              <w:spacing w:line="360" w:lineRule="auto"/>
              <w:jc w:val="left"/>
              <w:rPr>
                <w:rFonts w:ascii="宋体" w:hAnsi="宋体" w:cs="宋体"/>
                <w:szCs w:val="21"/>
              </w:rPr>
            </w:pPr>
            <w:r>
              <w:rPr>
                <w:rFonts w:hint="eastAsia" w:ascii="宋体" w:hAnsi="宋体" w:cs="宋体"/>
                <w:szCs w:val="21"/>
              </w:rPr>
              <w:t>中标通知书发出后</w:t>
            </w:r>
            <w:r>
              <w:rPr>
                <w:rFonts w:hint="eastAsia" w:ascii="宋体" w:hAnsi="宋体" w:cs="宋体"/>
                <w:szCs w:val="21"/>
                <w:u w:val="single"/>
              </w:rPr>
              <w:t>25</w:t>
            </w:r>
            <w:r>
              <w:rPr>
                <w:rFonts w:hint="eastAsia" w:ascii="宋体" w:hAnsi="宋体" w:cs="宋体"/>
                <w:szCs w:val="21"/>
              </w:rPr>
              <w:t>日内。</w:t>
            </w:r>
          </w:p>
        </w:tc>
      </w:tr>
      <w:tr w14:paraId="270D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064" w:type="dxa"/>
            <w:vAlign w:val="center"/>
          </w:tcPr>
          <w:p w14:paraId="48D8E9A8">
            <w:pPr>
              <w:spacing w:line="360" w:lineRule="auto"/>
              <w:jc w:val="center"/>
              <w:rPr>
                <w:rFonts w:ascii="宋体" w:hAnsi="宋体" w:cs="宋体"/>
                <w:szCs w:val="21"/>
              </w:rPr>
            </w:pPr>
            <w:r>
              <w:rPr>
                <w:rFonts w:hint="eastAsia" w:ascii="宋体" w:hAnsi="宋体" w:cs="宋体"/>
                <w:szCs w:val="21"/>
              </w:rPr>
              <w:t>2</w:t>
            </w:r>
          </w:p>
        </w:tc>
        <w:tc>
          <w:tcPr>
            <w:tcW w:w="1770" w:type="dxa"/>
            <w:vAlign w:val="center"/>
          </w:tcPr>
          <w:p w14:paraId="7E811405">
            <w:pPr>
              <w:spacing w:line="360" w:lineRule="auto"/>
              <w:jc w:val="center"/>
              <w:rPr>
                <w:rFonts w:ascii="宋体" w:hAnsi="宋体" w:cs="宋体"/>
                <w:szCs w:val="21"/>
              </w:rPr>
            </w:pPr>
            <w:r>
              <w:rPr>
                <w:rFonts w:hint="eastAsia" w:ascii="宋体" w:hAnsi="宋体" w:cs="宋体"/>
                <w:szCs w:val="21"/>
              </w:rPr>
              <w:t>交付使用时间</w:t>
            </w:r>
          </w:p>
        </w:tc>
        <w:tc>
          <w:tcPr>
            <w:tcW w:w="6856" w:type="dxa"/>
            <w:vAlign w:val="center"/>
          </w:tcPr>
          <w:p w14:paraId="50B6AC35">
            <w:pPr>
              <w:spacing w:line="360" w:lineRule="auto"/>
              <w:jc w:val="left"/>
              <w:rPr>
                <w:rFonts w:ascii="宋体" w:hAnsi="宋体" w:cs="宋体"/>
                <w:szCs w:val="21"/>
              </w:rPr>
            </w:pPr>
            <w:r>
              <w:rPr>
                <w:rFonts w:hint="eastAsia" w:ascii="宋体" w:hAnsi="宋体" w:cs="宋体"/>
                <w:szCs w:val="21"/>
              </w:rPr>
              <w:t>自合同签订之日起</w:t>
            </w:r>
            <w:r>
              <w:rPr>
                <w:rFonts w:hint="eastAsia" w:ascii="宋体" w:hAnsi="宋体" w:cs="宋体"/>
                <w:szCs w:val="21"/>
                <w:highlight w:val="none"/>
                <w:u w:val="single"/>
              </w:rPr>
              <w:t xml:space="preserve"> 45 </w:t>
            </w:r>
            <w:r>
              <w:rPr>
                <w:rFonts w:hint="eastAsia" w:ascii="宋体" w:hAnsi="宋体" w:cs="宋体"/>
                <w:szCs w:val="21"/>
                <w:highlight w:val="none"/>
              </w:rPr>
              <w:t>个</w:t>
            </w:r>
            <w:r>
              <w:rPr>
                <w:rFonts w:hint="eastAsia" w:ascii="宋体" w:hAnsi="宋体" w:cs="宋体"/>
                <w:szCs w:val="21"/>
              </w:rPr>
              <w:t>工作日内全部货物交货并安装调试完毕。</w:t>
            </w:r>
          </w:p>
        </w:tc>
      </w:tr>
      <w:tr w14:paraId="20A7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064" w:type="dxa"/>
            <w:vAlign w:val="center"/>
          </w:tcPr>
          <w:p w14:paraId="75123253">
            <w:pPr>
              <w:spacing w:line="360" w:lineRule="auto"/>
              <w:jc w:val="center"/>
              <w:rPr>
                <w:rFonts w:ascii="宋体" w:hAnsi="宋体" w:cs="宋体"/>
                <w:szCs w:val="21"/>
              </w:rPr>
            </w:pPr>
            <w:r>
              <w:rPr>
                <w:rFonts w:hint="eastAsia" w:ascii="宋体" w:hAnsi="宋体" w:cs="宋体"/>
                <w:szCs w:val="21"/>
              </w:rPr>
              <w:t>3</w:t>
            </w:r>
          </w:p>
        </w:tc>
        <w:tc>
          <w:tcPr>
            <w:tcW w:w="1770" w:type="dxa"/>
            <w:vAlign w:val="center"/>
          </w:tcPr>
          <w:p w14:paraId="2F7F9E45">
            <w:pPr>
              <w:spacing w:line="360" w:lineRule="auto"/>
              <w:jc w:val="center"/>
              <w:rPr>
                <w:rFonts w:ascii="宋体" w:hAnsi="宋体" w:cs="宋体"/>
                <w:szCs w:val="21"/>
              </w:rPr>
            </w:pPr>
            <w:r>
              <w:rPr>
                <w:rFonts w:hint="eastAsia" w:ascii="宋体" w:hAnsi="宋体" w:cs="宋体"/>
                <w:szCs w:val="21"/>
              </w:rPr>
              <w:t>交付地点</w:t>
            </w:r>
          </w:p>
        </w:tc>
        <w:tc>
          <w:tcPr>
            <w:tcW w:w="6856" w:type="dxa"/>
            <w:vAlign w:val="center"/>
          </w:tcPr>
          <w:p w14:paraId="40A966EF">
            <w:pPr>
              <w:spacing w:line="360" w:lineRule="auto"/>
              <w:jc w:val="left"/>
              <w:rPr>
                <w:rFonts w:ascii="宋体" w:hAnsi="宋体" w:cs="宋体"/>
                <w:szCs w:val="21"/>
              </w:rPr>
            </w:pPr>
            <w:r>
              <w:rPr>
                <w:rFonts w:hint="eastAsia" w:ascii="宋体" w:hAnsi="宋体" w:cs="宋体"/>
                <w:szCs w:val="21"/>
              </w:rPr>
              <w:t>广西师范大学育才校区化学实验中心楼指定地点。</w:t>
            </w:r>
          </w:p>
        </w:tc>
      </w:tr>
      <w:tr w14:paraId="1C087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2" w:hRule="atLeast"/>
        </w:trPr>
        <w:tc>
          <w:tcPr>
            <w:tcW w:w="1064" w:type="dxa"/>
            <w:vAlign w:val="center"/>
          </w:tcPr>
          <w:p w14:paraId="3FEA5835">
            <w:pPr>
              <w:spacing w:line="360" w:lineRule="auto"/>
              <w:jc w:val="center"/>
              <w:rPr>
                <w:rFonts w:ascii="宋体" w:hAnsi="宋体" w:cs="宋体"/>
                <w:szCs w:val="21"/>
              </w:rPr>
            </w:pPr>
            <w:r>
              <w:rPr>
                <w:rFonts w:hint="eastAsia" w:ascii="宋体" w:hAnsi="宋体" w:cs="宋体"/>
                <w:szCs w:val="21"/>
              </w:rPr>
              <w:t>4</w:t>
            </w:r>
          </w:p>
        </w:tc>
        <w:tc>
          <w:tcPr>
            <w:tcW w:w="1770" w:type="dxa"/>
            <w:vAlign w:val="center"/>
          </w:tcPr>
          <w:p w14:paraId="4A08E52A">
            <w:pPr>
              <w:spacing w:line="360" w:lineRule="exact"/>
              <w:jc w:val="center"/>
              <w:rPr>
                <w:rFonts w:ascii="宋体" w:hAnsi="宋体" w:cs="宋体"/>
                <w:szCs w:val="21"/>
              </w:rPr>
            </w:pPr>
            <w:r>
              <w:rPr>
                <w:rFonts w:hint="eastAsia" w:ascii="宋体" w:hAnsi="宋体" w:cs="宋体"/>
                <w:szCs w:val="21"/>
              </w:rPr>
              <w:t>售后服务</w:t>
            </w:r>
          </w:p>
        </w:tc>
        <w:tc>
          <w:tcPr>
            <w:tcW w:w="6856" w:type="dxa"/>
            <w:vAlign w:val="center"/>
          </w:tcPr>
          <w:p w14:paraId="64B84F77">
            <w:pPr>
              <w:spacing w:line="360" w:lineRule="exact"/>
              <w:rPr>
                <w:rFonts w:ascii="宋体" w:hAnsi="宋体" w:cs="宋体"/>
                <w:szCs w:val="21"/>
              </w:rPr>
            </w:pPr>
            <w:r>
              <w:rPr>
                <w:rFonts w:hint="eastAsia" w:ascii="宋体" w:hAnsi="宋体" w:cs="宋体"/>
                <w:szCs w:val="21"/>
              </w:rPr>
              <w:t>1、质保期：按国家有关产品“三包”规定执行“三包”，质保期自货物验收合格之日起计算不少于1年。免费保修服务包含整机、零配件和软件升级。若中标供应商承诺的质保期优于产品生产厂家质保年限的，以中标供应商承诺为准。</w:t>
            </w:r>
          </w:p>
          <w:p w14:paraId="447C2C8D">
            <w:pPr>
              <w:spacing w:line="360" w:lineRule="exact"/>
              <w:rPr>
                <w:rFonts w:ascii="宋体" w:hAnsi="宋体" w:cs="宋体"/>
                <w:szCs w:val="21"/>
              </w:rPr>
            </w:pPr>
            <w:r>
              <w:rPr>
                <w:rFonts w:hint="eastAsia" w:ascii="宋体" w:hAnsi="宋体" w:cs="宋体"/>
                <w:szCs w:val="21"/>
              </w:rPr>
              <w:t>2、售后服务费用已包含在报价中，具体内容如下：</w:t>
            </w:r>
          </w:p>
          <w:p w14:paraId="2A379763">
            <w:pPr>
              <w:spacing w:line="360" w:lineRule="exact"/>
              <w:rPr>
                <w:rFonts w:ascii="宋体" w:hAnsi="宋体" w:cs="宋体"/>
                <w:szCs w:val="21"/>
              </w:rPr>
            </w:pPr>
            <w:r>
              <w:rPr>
                <w:rFonts w:hint="eastAsia" w:ascii="宋体" w:hAnsi="宋体" w:cs="宋体"/>
                <w:szCs w:val="21"/>
              </w:rPr>
              <w:t>① 负责送货上门，并派专业人员到采购人场地进行安装调试，对操作人员进行现场使用和维护培训，直至设备运行正常，操作人员能独立正常操作。培训内容包括仪器原理、使用、日常维护及现场操作。</w:t>
            </w:r>
          </w:p>
          <w:p w14:paraId="363D6F24">
            <w:pPr>
              <w:spacing w:line="360" w:lineRule="exact"/>
              <w:rPr>
                <w:rFonts w:ascii="宋体" w:hAnsi="宋体" w:cs="宋体"/>
                <w:szCs w:val="21"/>
              </w:rPr>
            </w:pPr>
            <w:r>
              <w:rPr>
                <w:rFonts w:hint="eastAsia" w:ascii="宋体" w:hAnsi="宋体" w:cs="宋体"/>
                <w:szCs w:val="21"/>
              </w:rPr>
              <w:t>② 定期回访及设备维修。</w:t>
            </w:r>
          </w:p>
          <w:p w14:paraId="434F0425">
            <w:pPr>
              <w:spacing w:line="360" w:lineRule="exact"/>
              <w:rPr>
                <w:rFonts w:ascii="宋体" w:hAnsi="宋体" w:cs="宋体"/>
                <w:szCs w:val="21"/>
              </w:rPr>
            </w:pPr>
            <w:r>
              <w:rPr>
                <w:rFonts w:hint="eastAsia" w:ascii="宋体" w:hAnsi="宋体" w:cs="宋体"/>
                <w:szCs w:val="21"/>
              </w:rPr>
              <w:t>③ 其余按厂家承诺执行。</w:t>
            </w:r>
          </w:p>
          <w:p w14:paraId="63F11165">
            <w:pPr>
              <w:spacing w:line="360" w:lineRule="exact"/>
              <w:rPr>
                <w:rFonts w:ascii="宋体" w:hAnsi="宋体" w:cs="宋体"/>
                <w:szCs w:val="21"/>
              </w:rPr>
            </w:pPr>
            <w:r>
              <w:rPr>
                <w:rFonts w:hint="eastAsia" w:ascii="宋体" w:hAnsi="宋体" w:cs="宋体"/>
                <w:szCs w:val="21"/>
              </w:rPr>
              <w:t>④ 供货时，中标供应商须向采购人提供投标产品生产厂家针对本项目出具的产品售后服务承诺书原件，并提供生产厂家免费上门安装调试服务。安装调试人员应提供相关证明材料证明其为原厂工程师，否则不予验收。</w:t>
            </w:r>
          </w:p>
        </w:tc>
      </w:tr>
      <w:tr w14:paraId="033E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9D7FBF7">
            <w:pPr>
              <w:spacing w:line="360" w:lineRule="auto"/>
              <w:jc w:val="center"/>
              <w:rPr>
                <w:rFonts w:ascii="宋体" w:hAnsi="宋体" w:cs="宋体"/>
                <w:szCs w:val="21"/>
              </w:rPr>
            </w:pPr>
            <w:r>
              <w:rPr>
                <w:rFonts w:hint="eastAsia" w:ascii="宋体" w:hAnsi="宋体" w:cs="宋体"/>
                <w:szCs w:val="21"/>
              </w:rPr>
              <w:t>5</w:t>
            </w:r>
          </w:p>
        </w:tc>
        <w:tc>
          <w:tcPr>
            <w:tcW w:w="1770" w:type="dxa"/>
            <w:vAlign w:val="center"/>
          </w:tcPr>
          <w:p w14:paraId="5AE5B734">
            <w:pPr>
              <w:spacing w:line="360" w:lineRule="exact"/>
              <w:jc w:val="center"/>
              <w:rPr>
                <w:rFonts w:ascii="宋体" w:hAnsi="宋体" w:cs="宋体"/>
                <w:szCs w:val="21"/>
              </w:rPr>
            </w:pPr>
            <w:r>
              <w:rPr>
                <w:rFonts w:hint="eastAsia" w:ascii="宋体" w:hAnsi="宋体" w:cs="宋体"/>
                <w:szCs w:val="21"/>
              </w:rPr>
              <w:t>故障响应时间</w:t>
            </w:r>
          </w:p>
        </w:tc>
        <w:tc>
          <w:tcPr>
            <w:tcW w:w="6856" w:type="dxa"/>
            <w:vAlign w:val="center"/>
          </w:tcPr>
          <w:p w14:paraId="212CB997">
            <w:pPr>
              <w:spacing w:line="360" w:lineRule="exact"/>
              <w:rPr>
                <w:rFonts w:ascii="宋体" w:hAnsi="宋体" w:cs="宋体"/>
                <w:szCs w:val="21"/>
              </w:rPr>
            </w:pPr>
            <w:r>
              <w:rPr>
                <w:rFonts w:hint="eastAsia" w:ascii="宋体" w:hAnsi="宋体" w:cs="宋体"/>
                <w:szCs w:val="21"/>
              </w:rPr>
              <w:t>接到故障通知后2小时内响应，48小时内工程人员到达现场维修，按国家及行业标准对故障进行及时处理。一般问题应在48小时内解决，重大问题或其它无法迅速解决的问题应在一周内解决，以保障采购人的正常工作。</w:t>
            </w:r>
          </w:p>
        </w:tc>
      </w:tr>
      <w:tr w14:paraId="3E17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698E58E8">
            <w:pPr>
              <w:spacing w:line="360" w:lineRule="auto"/>
              <w:jc w:val="center"/>
              <w:rPr>
                <w:rFonts w:ascii="宋体" w:hAnsi="宋体" w:cs="宋体"/>
                <w:szCs w:val="21"/>
              </w:rPr>
            </w:pPr>
            <w:r>
              <w:rPr>
                <w:rFonts w:hint="eastAsia" w:ascii="宋体" w:hAnsi="宋体" w:cs="宋体"/>
                <w:szCs w:val="21"/>
              </w:rPr>
              <w:t>6</w:t>
            </w:r>
          </w:p>
        </w:tc>
        <w:tc>
          <w:tcPr>
            <w:tcW w:w="1770" w:type="dxa"/>
            <w:vAlign w:val="center"/>
          </w:tcPr>
          <w:p w14:paraId="30FDEC63">
            <w:pPr>
              <w:spacing w:line="360" w:lineRule="exact"/>
              <w:jc w:val="center"/>
              <w:rPr>
                <w:rFonts w:ascii="宋体" w:hAnsi="宋体" w:cs="宋体"/>
                <w:szCs w:val="21"/>
              </w:rPr>
            </w:pPr>
            <w:r>
              <w:rPr>
                <w:rFonts w:hint="eastAsia" w:ascii="宋体" w:hAnsi="宋体" w:cs="宋体"/>
                <w:szCs w:val="21"/>
              </w:rPr>
              <w:t>投标报价</w:t>
            </w:r>
          </w:p>
        </w:tc>
        <w:tc>
          <w:tcPr>
            <w:tcW w:w="6856" w:type="dxa"/>
            <w:vAlign w:val="center"/>
          </w:tcPr>
          <w:p w14:paraId="68BBEC20">
            <w:pPr>
              <w:spacing w:line="360" w:lineRule="exact"/>
              <w:rPr>
                <w:rFonts w:ascii="宋体" w:hAnsi="宋体" w:cs="宋体"/>
                <w:szCs w:val="21"/>
              </w:rPr>
            </w:pPr>
            <w:r>
              <w:rPr>
                <w:rFonts w:hint="eastAsia" w:ascii="宋体" w:hAnsi="宋体" w:cs="宋体"/>
                <w:szCs w:val="21"/>
              </w:rPr>
              <w:t>投标报价包含货物、货物标准附件、备品备件、专用工具、设备安装辅材、施工辅材、包装、运输、装卸、保险、货到就位的各种费用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明示或暗示的所有责任、义务和一般风险等一切费用。</w:t>
            </w:r>
          </w:p>
        </w:tc>
      </w:tr>
      <w:tr w14:paraId="4A75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177428C">
            <w:pPr>
              <w:spacing w:line="360" w:lineRule="auto"/>
              <w:jc w:val="center"/>
              <w:rPr>
                <w:rFonts w:ascii="宋体" w:hAnsi="宋体" w:cs="宋体"/>
                <w:szCs w:val="21"/>
              </w:rPr>
            </w:pPr>
            <w:r>
              <w:rPr>
                <w:rFonts w:hint="eastAsia" w:ascii="宋体" w:hAnsi="宋体" w:cs="宋体"/>
                <w:szCs w:val="21"/>
              </w:rPr>
              <w:t>7</w:t>
            </w:r>
          </w:p>
        </w:tc>
        <w:tc>
          <w:tcPr>
            <w:tcW w:w="1770" w:type="dxa"/>
            <w:vAlign w:val="center"/>
          </w:tcPr>
          <w:p w14:paraId="19861639">
            <w:pPr>
              <w:spacing w:line="360" w:lineRule="exact"/>
              <w:jc w:val="center"/>
              <w:rPr>
                <w:rFonts w:ascii="宋体" w:hAnsi="宋体" w:cs="宋体"/>
                <w:szCs w:val="21"/>
              </w:rPr>
            </w:pPr>
            <w:r>
              <w:rPr>
                <w:rFonts w:hint="eastAsia" w:ascii="宋体" w:hAnsi="宋体" w:cs="宋体"/>
                <w:szCs w:val="21"/>
              </w:rPr>
              <w:t>付款方式</w:t>
            </w:r>
          </w:p>
        </w:tc>
        <w:tc>
          <w:tcPr>
            <w:tcW w:w="6856" w:type="dxa"/>
          </w:tcPr>
          <w:p w14:paraId="2C44C8E2">
            <w:pPr>
              <w:spacing w:line="360" w:lineRule="exact"/>
              <w:rPr>
                <w:rFonts w:ascii="宋体" w:hAnsi="宋体" w:cs="宋体"/>
                <w:szCs w:val="21"/>
              </w:rPr>
            </w:pPr>
            <w:r>
              <w:rPr>
                <w:rFonts w:hint="eastAsia" w:ascii="宋体" w:hAnsi="宋体" w:cs="宋体"/>
                <w:szCs w:val="21"/>
              </w:rPr>
              <w:t>1.合同签订时，中标人应按合同金额的5%（中标人为中小微企业时为中标金额的2%）向采购人交纳履约保证金，履约保证金待履行完合同约定的权利义务事项后（中标人承诺质保期满）且不存在争议的，采购人在5个工作日内无息返还履约保证金。</w:t>
            </w:r>
          </w:p>
          <w:p w14:paraId="5317DFB4">
            <w:pPr>
              <w:spacing w:line="360" w:lineRule="exact"/>
              <w:rPr>
                <w:rFonts w:ascii="宋体" w:hAnsi="宋体" w:cs="宋体"/>
                <w:szCs w:val="21"/>
              </w:rPr>
            </w:pPr>
            <w:r>
              <w:rPr>
                <w:rFonts w:hint="eastAsia" w:ascii="宋体" w:hAnsi="宋体" w:cs="宋体"/>
                <w:szCs w:val="21"/>
              </w:rPr>
              <w:t>2.在交货验收合格、培训指导完成及设备正常使用后，中标人在3日内开具增值税专用发票给采购人，采购人收到增值税专用发票后30个工作日内支付100％的合同金额（无息）。</w:t>
            </w:r>
          </w:p>
        </w:tc>
      </w:tr>
      <w:tr w14:paraId="1191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660C8C6A">
            <w:pPr>
              <w:spacing w:line="360" w:lineRule="auto"/>
              <w:jc w:val="center"/>
              <w:rPr>
                <w:rFonts w:ascii="宋体" w:hAnsi="宋体" w:cs="宋体"/>
                <w:szCs w:val="21"/>
              </w:rPr>
            </w:pPr>
            <w:r>
              <w:rPr>
                <w:rFonts w:hint="eastAsia" w:ascii="宋体" w:hAnsi="宋体" w:cs="宋体"/>
                <w:szCs w:val="21"/>
              </w:rPr>
              <w:t>8</w:t>
            </w:r>
          </w:p>
        </w:tc>
        <w:tc>
          <w:tcPr>
            <w:tcW w:w="1770" w:type="dxa"/>
            <w:vAlign w:val="center"/>
          </w:tcPr>
          <w:p w14:paraId="1B8BDE68">
            <w:pPr>
              <w:spacing w:line="360" w:lineRule="exact"/>
              <w:jc w:val="center"/>
              <w:rPr>
                <w:rFonts w:ascii="宋体" w:hAnsi="宋体" w:cs="宋体"/>
                <w:szCs w:val="21"/>
              </w:rPr>
            </w:pPr>
            <w:r>
              <w:rPr>
                <w:rFonts w:hint="eastAsia" w:ascii="宋体" w:hAnsi="宋体" w:cs="宋体"/>
                <w:szCs w:val="21"/>
              </w:rPr>
              <w:t>履约保证金</w:t>
            </w:r>
          </w:p>
        </w:tc>
        <w:tc>
          <w:tcPr>
            <w:tcW w:w="6856" w:type="dxa"/>
            <w:vAlign w:val="center"/>
          </w:tcPr>
          <w:p w14:paraId="181879A4">
            <w:pPr>
              <w:spacing w:line="360" w:lineRule="exact"/>
              <w:rPr>
                <w:rFonts w:ascii="宋体" w:hAnsi="宋体" w:cs="宋体"/>
                <w:szCs w:val="21"/>
              </w:rPr>
            </w:pPr>
            <w:r>
              <w:rPr>
                <w:rFonts w:hint="eastAsia" w:ascii="宋体" w:hAnsi="宋体" w:cs="宋体"/>
                <w:szCs w:val="21"/>
              </w:rPr>
              <w:t>中标人在签订合同之前向采购人以银行转账或电汇等非现金方式一次性缴纳中标金额的5%（如为中小企业，按中标金额的2%）作为履约保证金。</w:t>
            </w:r>
          </w:p>
        </w:tc>
      </w:tr>
      <w:tr w14:paraId="7919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E9C0925">
            <w:pPr>
              <w:spacing w:line="360" w:lineRule="auto"/>
              <w:jc w:val="center"/>
              <w:rPr>
                <w:rFonts w:ascii="宋体" w:hAnsi="宋体" w:cs="宋体"/>
                <w:szCs w:val="21"/>
              </w:rPr>
            </w:pPr>
            <w:r>
              <w:rPr>
                <w:rFonts w:hint="eastAsia" w:ascii="宋体" w:hAnsi="宋体" w:cs="宋体"/>
                <w:szCs w:val="21"/>
              </w:rPr>
              <w:t>9</w:t>
            </w:r>
          </w:p>
        </w:tc>
        <w:tc>
          <w:tcPr>
            <w:tcW w:w="1770" w:type="dxa"/>
            <w:vAlign w:val="center"/>
          </w:tcPr>
          <w:p w14:paraId="0DFAD63C">
            <w:pPr>
              <w:spacing w:line="360" w:lineRule="exact"/>
              <w:jc w:val="center"/>
              <w:rPr>
                <w:rFonts w:ascii="宋体" w:hAnsi="宋体" w:cs="宋体"/>
                <w:szCs w:val="21"/>
              </w:rPr>
            </w:pPr>
            <w:r>
              <w:rPr>
                <w:rFonts w:hint="eastAsia" w:ascii="宋体" w:hAnsi="宋体" w:cs="宋体"/>
                <w:szCs w:val="21"/>
              </w:rPr>
              <w:t>验收规范、验收方法及方案</w:t>
            </w:r>
          </w:p>
        </w:tc>
        <w:tc>
          <w:tcPr>
            <w:tcW w:w="6856" w:type="dxa"/>
          </w:tcPr>
          <w:p w14:paraId="71FBFD5C">
            <w:pPr>
              <w:spacing w:line="360" w:lineRule="exact"/>
              <w:rPr>
                <w:rFonts w:ascii="宋体" w:hAnsi="宋体" w:cs="宋体"/>
                <w:szCs w:val="21"/>
              </w:rPr>
            </w:pPr>
            <w:r>
              <w:rPr>
                <w:rFonts w:hint="eastAsia" w:ascii="宋体" w:hAnsi="宋体" w:cs="宋体"/>
                <w:szCs w:val="21"/>
              </w:rPr>
              <w:t>1.项目完工后5个工作日内中标人提出验收申请，接到验收申请的5个工作日内采购人组织验收，验收所发生费用由中标人承担。</w:t>
            </w:r>
          </w:p>
          <w:p w14:paraId="77729E2A">
            <w:pPr>
              <w:spacing w:line="360" w:lineRule="exact"/>
              <w:rPr>
                <w:rFonts w:ascii="宋体" w:hAnsi="宋体" w:cs="宋体"/>
                <w:szCs w:val="21"/>
              </w:rPr>
            </w:pPr>
            <w:r>
              <w:rPr>
                <w:rFonts w:hint="eastAsia" w:ascii="宋体" w:hAnsi="宋体" w:cs="宋体"/>
                <w:szCs w:val="21"/>
              </w:rPr>
              <w:t>2.中标人提供不符合公告规定的、采购文件、投标文件承诺的或本合同规定的货物，采购人有权拒绝接受。</w:t>
            </w:r>
          </w:p>
          <w:p w14:paraId="5B5D586D">
            <w:pPr>
              <w:spacing w:line="360" w:lineRule="exact"/>
              <w:rPr>
                <w:rFonts w:ascii="宋体" w:hAnsi="宋体" w:cs="宋体"/>
                <w:szCs w:val="21"/>
              </w:rPr>
            </w:pPr>
            <w:r>
              <w:rPr>
                <w:rFonts w:hint="eastAsia" w:ascii="宋体" w:hAnsi="宋体" w:cs="宋体"/>
                <w:szCs w:val="21"/>
              </w:rPr>
              <w:t>3.中标人应将所提供货物的装箱清单、用户手册、原厂保修卡、随机资料、工具和备品、备件等交付给采购人，如有缺失应在采购人要求的期限内及时补齐，否则视为逾期交货。</w:t>
            </w:r>
          </w:p>
          <w:p w14:paraId="3C682554">
            <w:pPr>
              <w:spacing w:line="360" w:lineRule="exact"/>
              <w:rPr>
                <w:rFonts w:ascii="宋体" w:hAnsi="宋体" w:cs="宋体"/>
                <w:szCs w:val="21"/>
              </w:rPr>
            </w:pPr>
            <w:r>
              <w:rPr>
                <w:rFonts w:hint="eastAsia" w:ascii="宋体" w:hAnsi="宋体" w:cs="宋体"/>
                <w:szCs w:val="21"/>
              </w:rPr>
              <w:t>4.采购人应当在到货并安装、调试完后进行验收。验收合格后由双方签署货物验收单并加盖采购单位公章，双方各执一份。</w:t>
            </w:r>
          </w:p>
          <w:p w14:paraId="3CD11FC1">
            <w:pPr>
              <w:spacing w:line="360" w:lineRule="exact"/>
              <w:rPr>
                <w:rFonts w:ascii="宋体" w:hAnsi="宋体" w:cs="宋体"/>
                <w:szCs w:val="21"/>
              </w:rPr>
            </w:pPr>
            <w:r>
              <w:rPr>
                <w:rFonts w:hint="eastAsia" w:ascii="宋体" w:hAnsi="宋体" w:cs="宋体"/>
                <w:szCs w:val="21"/>
              </w:rPr>
              <w:t>5.若采购人委托第三方组织的验收项目，其验收时间以该项目验收方案确定的验收时间为准，验收结果以该项目验收报告结论为准。在验收过程中发现中标人有违约问题，可暂缓资金结算，待违约问题解决后，方可办理资金结算事宜，在此期间，采购人不承担逾期付款责任。</w:t>
            </w:r>
          </w:p>
          <w:p w14:paraId="0025A771">
            <w:pPr>
              <w:spacing w:line="360" w:lineRule="exact"/>
              <w:rPr>
                <w:rFonts w:ascii="宋体" w:hAnsi="宋体" w:cs="宋体"/>
                <w:szCs w:val="21"/>
              </w:rPr>
            </w:pPr>
            <w:r>
              <w:rPr>
                <w:rFonts w:hint="eastAsia" w:ascii="宋体" w:hAnsi="宋体" w:cs="宋体"/>
                <w:szCs w:val="21"/>
              </w:rPr>
              <w:t>6.采购人对验收有异议的，在验收后以书面形式向中标人提出，中标人应自收到采购人书面异议后5日内及时予以解决，中标人不予答复或未予以实质解决的，视为认可采购人异议及处置意见。</w:t>
            </w:r>
          </w:p>
          <w:p w14:paraId="7C9F15CF">
            <w:pPr>
              <w:spacing w:line="360" w:lineRule="exact"/>
              <w:rPr>
                <w:rFonts w:ascii="宋体" w:hAnsi="宋体" w:cs="宋体"/>
                <w:szCs w:val="21"/>
              </w:rPr>
            </w:pPr>
            <w:r>
              <w:rPr>
                <w:rFonts w:hint="eastAsia" w:ascii="宋体" w:hAnsi="宋体" w:cs="宋体"/>
                <w:szCs w:val="21"/>
              </w:rPr>
              <w:t>7.验收过程中，所产生的一切费用均由中标人承担。报价时应考虑相关费用。</w:t>
            </w:r>
          </w:p>
          <w:p w14:paraId="3919DA1A">
            <w:pPr>
              <w:spacing w:line="360" w:lineRule="exact"/>
              <w:rPr>
                <w:rFonts w:ascii="宋体" w:hAnsi="宋体" w:cs="宋体"/>
                <w:szCs w:val="21"/>
              </w:rPr>
            </w:pPr>
            <w:r>
              <w:rPr>
                <w:rFonts w:hint="eastAsia" w:ascii="宋体" w:hAnsi="宋体" w:cs="宋体"/>
                <w:szCs w:val="21"/>
              </w:rPr>
              <w:t>8.产品实行强制标准认证制度、生产许可证制度、销售或经营许可证制度、注册证制度的，中标人均应提供相关有效的证书复印件。</w:t>
            </w:r>
          </w:p>
          <w:p w14:paraId="13A93A21">
            <w:pPr>
              <w:spacing w:line="360" w:lineRule="exact"/>
              <w:rPr>
                <w:rFonts w:ascii="宋体" w:hAnsi="宋体" w:cs="宋体"/>
                <w:szCs w:val="21"/>
              </w:rPr>
            </w:pPr>
            <w:r>
              <w:rPr>
                <w:rFonts w:hint="eastAsia" w:ascii="宋体" w:hAnsi="宋体" w:cs="宋体"/>
                <w:szCs w:val="21"/>
              </w:rPr>
              <w:t>9.其他未尽事宜应严格按照《关于印发广西壮族自治区政府采购项目履约验收管理办法的通知》[桂财采〔2015〕22号]以及《财政部关于进一步加强政府采购需求和履约验收管理的指导意见》[财库〔2016〕205号]规定执行。</w:t>
            </w:r>
          </w:p>
        </w:tc>
      </w:tr>
      <w:tr w14:paraId="0726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064E49B">
            <w:pPr>
              <w:spacing w:line="360" w:lineRule="auto"/>
              <w:jc w:val="center"/>
              <w:rPr>
                <w:rFonts w:ascii="宋体" w:hAnsi="宋体" w:cs="宋体"/>
                <w:szCs w:val="21"/>
              </w:rPr>
            </w:pPr>
            <w:r>
              <w:rPr>
                <w:rFonts w:hint="eastAsia" w:ascii="宋体" w:hAnsi="宋体" w:cs="宋体"/>
                <w:szCs w:val="21"/>
              </w:rPr>
              <w:t>10</w:t>
            </w:r>
          </w:p>
        </w:tc>
        <w:tc>
          <w:tcPr>
            <w:tcW w:w="1770" w:type="dxa"/>
            <w:vAlign w:val="center"/>
          </w:tcPr>
          <w:p w14:paraId="5FB091E3">
            <w:pPr>
              <w:spacing w:line="360" w:lineRule="exact"/>
              <w:jc w:val="center"/>
              <w:rPr>
                <w:rFonts w:ascii="宋体" w:hAnsi="宋体" w:cs="宋体"/>
                <w:szCs w:val="21"/>
              </w:rPr>
            </w:pPr>
            <w:r>
              <w:rPr>
                <w:rFonts w:hint="eastAsia" w:ascii="宋体" w:hAnsi="宋体" w:cs="宋体"/>
                <w:szCs w:val="21"/>
              </w:rPr>
              <w:t>其它要求</w:t>
            </w:r>
          </w:p>
        </w:tc>
        <w:tc>
          <w:tcPr>
            <w:tcW w:w="6856" w:type="dxa"/>
          </w:tcPr>
          <w:p w14:paraId="0F687966">
            <w:pPr>
              <w:spacing w:line="360" w:lineRule="exact"/>
              <w:rPr>
                <w:rFonts w:ascii="宋体" w:hAnsi="宋体" w:cs="宋体"/>
                <w:szCs w:val="21"/>
              </w:rPr>
            </w:pPr>
            <w:r>
              <w:rPr>
                <w:rFonts w:hint="eastAsia" w:ascii="宋体" w:hAnsi="宋体" w:cs="宋体"/>
                <w:szCs w:val="21"/>
              </w:rPr>
              <w:t>1、全部产品必须是具备厂家合法销售渠道的全新合格正品，符合国家有关认证标准及安全规定。所有产品须满足采购文件所述性能配置要求，若产品在运输过程中损坏或擦伤，须无偿调换相同产品。</w:t>
            </w:r>
          </w:p>
          <w:p w14:paraId="566ACFD1">
            <w:pPr>
              <w:spacing w:line="360" w:lineRule="exact"/>
              <w:rPr>
                <w:rFonts w:ascii="宋体" w:hAnsi="宋体" w:cs="宋体"/>
                <w:szCs w:val="21"/>
              </w:rPr>
            </w:pPr>
            <w:r>
              <w:rPr>
                <w:rFonts w:hint="eastAsia" w:ascii="宋体" w:hAnsi="宋体" w:cs="宋体"/>
                <w:szCs w:val="21"/>
              </w:rPr>
              <w:t>2、免费提供技术培训及硬件的测试和调整服务，并提供完整的安装、操作、使用、测试、控制和维护中文手册。</w:t>
            </w:r>
          </w:p>
          <w:p w14:paraId="36A1D300">
            <w:pPr>
              <w:spacing w:line="360" w:lineRule="exact"/>
              <w:rPr>
                <w:rFonts w:ascii="宋体" w:hAnsi="宋体" w:cs="宋体"/>
                <w:szCs w:val="21"/>
              </w:rPr>
            </w:pPr>
            <w:r>
              <w:rPr>
                <w:rFonts w:hint="eastAsia" w:ascii="宋体" w:hAnsi="宋体" w:cs="宋体"/>
                <w:szCs w:val="21"/>
              </w:rPr>
              <w:t>3、中标人负责全部产品的安装调试后直接交付运行。在保修期内，中标人须保证采购人能够合法应用该器械/服务。在此过程中，采购人将提供一切必要支持。若可能出现的后续证件、手续，中标人必须提供办理的流程及方法。</w:t>
            </w:r>
          </w:p>
          <w:p w14:paraId="64D8AE9C">
            <w:pPr>
              <w:spacing w:line="360" w:lineRule="exact"/>
              <w:rPr>
                <w:rFonts w:ascii="宋体" w:hAnsi="宋体" w:cs="宋体"/>
                <w:szCs w:val="21"/>
              </w:rPr>
            </w:pPr>
            <w:r>
              <w:rPr>
                <w:rFonts w:hint="eastAsia" w:ascii="宋体" w:hAnsi="宋体" w:cs="宋体"/>
                <w:szCs w:val="21"/>
              </w:rPr>
              <w:t>4、进口产品说明：本标项采购货物不接受进口产品（即通过中国海关报关验放进入中国境内且产自关境外的产品）参与投标，如有进口产品参与投标的，其投标文件按无效处理。</w:t>
            </w:r>
          </w:p>
        </w:tc>
      </w:tr>
      <w:tr w14:paraId="3573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3E1CDA0">
            <w:pPr>
              <w:spacing w:line="360" w:lineRule="auto"/>
              <w:jc w:val="center"/>
              <w:rPr>
                <w:rFonts w:ascii="宋体" w:hAnsi="宋体" w:cs="宋体"/>
                <w:szCs w:val="21"/>
              </w:rPr>
            </w:pPr>
            <w:r>
              <w:rPr>
                <w:rFonts w:hint="eastAsia" w:ascii="宋体" w:hAnsi="宋体" w:cs="宋体"/>
                <w:szCs w:val="21"/>
              </w:rPr>
              <w:t>11</w:t>
            </w:r>
          </w:p>
        </w:tc>
        <w:tc>
          <w:tcPr>
            <w:tcW w:w="1770" w:type="dxa"/>
            <w:vAlign w:val="center"/>
          </w:tcPr>
          <w:p w14:paraId="721330D2">
            <w:pPr>
              <w:spacing w:line="360" w:lineRule="exact"/>
              <w:jc w:val="center"/>
              <w:rPr>
                <w:rFonts w:ascii="宋体" w:hAnsi="宋体" w:cs="宋体"/>
                <w:szCs w:val="21"/>
                <w:highlight w:val="none"/>
              </w:rPr>
            </w:pPr>
            <w:r>
              <w:rPr>
                <w:rFonts w:hint="eastAsia" w:ascii="宋体" w:hAnsi="宋体" w:cs="宋体"/>
                <w:szCs w:val="21"/>
                <w:highlight w:val="none"/>
              </w:rPr>
              <w:t>核心产品</w:t>
            </w:r>
          </w:p>
        </w:tc>
        <w:tc>
          <w:tcPr>
            <w:tcW w:w="6856" w:type="dxa"/>
          </w:tcPr>
          <w:p w14:paraId="600946B2">
            <w:pPr>
              <w:spacing w:line="360" w:lineRule="exact"/>
              <w:rPr>
                <w:rFonts w:ascii="宋体" w:hAnsi="宋体" w:cs="宋体"/>
                <w:szCs w:val="21"/>
                <w:highlight w:val="none"/>
              </w:rPr>
            </w:pPr>
            <w:r>
              <w:rPr>
                <w:rFonts w:hint="eastAsia" w:ascii="宋体" w:hAnsi="宋体" w:cs="宋体"/>
                <w:szCs w:val="21"/>
                <w:highlight w:val="none"/>
              </w:rPr>
              <w:t>本分标的核心产品为第2项产品：</w:t>
            </w:r>
            <w:r>
              <w:rPr>
                <w:rFonts w:hint="eastAsia" w:ascii="宋体" w:hAnsi="宋体" w:cs="宋体"/>
                <w:b/>
                <w:bCs/>
                <w:szCs w:val="21"/>
                <w:highlight w:val="none"/>
              </w:rPr>
              <w:t>傅里叶变换红外光谱仪</w:t>
            </w:r>
            <w:r>
              <w:rPr>
                <w:rFonts w:hint="eastAsia" w:ascii="宋体" w:hAnsi="宋体" w:cs="宋体"/>
                <w:szCs w:val="21"/>
                <w:highlight w:val="none"/>
              </w:rPr>
              <w:t>。</w:t>
            </w:r>
          </w:p>
          <w:p w14:paraId="17DDBB3B">
            <w:pPr>
              <w:spacing w:line="360" w:lineRule="exact"/>
              <w:rPr>
                <w:rFonts w:ascii="宋体" w:hAnsi="宋体" w:cs="宋体"/>
                <w:szCs w:val="21"/>
                <w:highlight w:val="none"/>
              </w:rPr>
            </w:pPr>
            <w:r>
              <w:rPr>
                <w:rFonts w:hint="eastAsia" w:ascii="宋体" w:hAnsi="宋体" w:cs="宋体"/>
                <w:szCs w:val="21"/>
                <w:highlight w:val="none"/>
              </w:rPr>
              <w:t>提供相同品牌产品且通过资格审查、符合性审查的不同投标人参加同一合同项下投标的，按一家投标人计算，评审后得分最高的同品牌投标人获得中标人推荐资格；核心产品评审得分相同的，由采购人或者采购人委托评标委员会按照招标文件规定的方式确定一个投标人获得中标人推荐资格，招标文件未规定的采取随机抽取方式确定，其他同品牌投标人不作为中标候选人。</w:t>
            </w:r>
          </w:p>
        </w:tc>
      </w:tr>
    </w:tbl>
    <w:p w14:paraId="45295273">
      <w:pPr>
        <w:pStyle w:val="17"/>
        <w:rPr>
          <w:rFonts w:hint="eastAsia" w:ascii="宋体" w:hAnsi="宋体" w:cs="宋体"/>
          <w:b/>
          <w:bCs/>
          <w:sz w:val="24"/>
        </w:rPr>
      </w:pPr>
    </w:p>
    <w:p w14:paraId="5E7768AC">
      <w:pPr>
        <w:pStyle w:val="17"/>
        <w:rPr>
          <w:b/>
          <w:bCs/>
          <w:sz w:val="24"/>
        </w:rPr>
        <w:sectPr>
          <w:pgSz w:w="11905" w:h="16838"/>
          <w:pgMar w:top="1440" w:right="1417" w:bottom="1440" w:left="1417" w:header="850" w:footer="850" w:gutter="0"/>
          <w:cols w:space="720" w:num="1"/>
          <w:docGrid w:type="lines" w:linePitch="332" w:charSpace="0"/>
        </w:sectPr>
      </w:pPr>
    </w:p>
    <w:p w14:paraId="3F29A563">
      <w:pPr>
        <w:pStyle w:val="17"/>
        <w:rPr>
          <w:rFonts w:ascii="宋体" w:hAnsi="宋体" w:cs="宋体"/>
          <w:b/>
          <w:bCs/>
          <w:sz w:val="24"/>
        </w:rPr>
      </w:pPr>
      <w:r>
        <w:rPr>
          <w:rFonts w:hint="eastAsia" w:ascii="宋体" w:hAnsi="宋体" w:cs="宋体"/>
          <w:b/>
          <w:bCs/>
          <w:sz w:val="24"/>
        </w:rPr>
        <w:t>标项三：</w:t>
      </w:r>
    </w:p>
    <w:tbl>
      <w:tblPr>
        <w:tblStyle w:val="25"/>
        <w:tblW w:w="91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134"/>
        <w:gridCol w:w="709"/>
        <w:gridCol w:w="708"/>
        <w:gridCol w:w="5877"/>
      </w:tblGrid>
      <w:tr w14:paraId="0FA3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4B663DAD">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1134" w:type="dxa"/>
            <w:vAlign w:val="center"/>
          </w:tcPr>
          <w:p w14:paraId="7439CA39">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r>
              <w:rPr>
                <w:rFonts w:hint="eastAsia" w:ascii="宋体" w:hAnsi="宋体" w:eastAsia="宋体" w:cs="宋体"/>
                <w:b/>
                <w:sz w:val="21"/>
                <w:szCs w:val="21"/>
              </w:rPr>
              <w:t>货物/服务名称</w:t>
            </w:r>
          </w:p>
        </w:tc>
        <w:tc>
          <w:tcPr>
            <w:tcW w:w="709" w:type="dxa"/>
            <w:vAlign w:val="center"/>
          </w:tcPr>
          <w:p w14:paraId="372A0890">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r>
              <w:rPr>
                <w:rFonts w:hint="eastAsia" w:ascii="宋体" w:hAnsi="宋体" w:eastAsia="宋体" w:cs="宋体"/>
                <w:b/>
                <w:sz w:val="21"/>
                <w:szCs w:val="21"/>
              </w:rPr>
              <w:t>数量</w:t>
            </w:r>
          </w:p>
        </w:tc>
        <w:tc>
          <w:tcPr>
            <w:tcW w:w="708" w:type="dxa"/>
            <w:vAlign w:val="center"/>
          </w:tcPr>
          <w:p w14:paraId="64F2FC01">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r>
              <w:rPr>
                <w:rFonts w:hint="eastAsia" w:ascii="宋体" w:hAnsi="宋体" w:eastAsia="宋体" w:cs="宋体"/>
                <w:b/>
                <w:sz w:val="21"/>
                <w:szCs w:val="21"/>
              </w:rPr>
              <w:t>计量</w:t>
            </w:r>
          </w:p>
          <w:p w14:paraId="6D4ACA13">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r>
              <w:rPr>
                <w:rFonts w:hint="eastAsia" w:ascii="宋体" w:hAnsi="宋体" w:eastAsia="宋体" w:cs="宋体"/>
                <w:b/>
                <w:sz w:val="21"/>
                <w:szCs w:val="21"/>
              </w:rPr>
              <w:t>单位</w:t>
            </w:r>
          </w:p>
        </w:tc>
        <w:tc>
          <w:tcPr>
            <w:tcW w:w="5877" w:type="dxa"/>
            <w:vAlign w:val="center"/>
          </w:tcPr>
          <w:p w14:paraId="0D52C8B5">
            <w:pPr>
              <w:keepNext w:val="0"/>
              <w:keepLines w:val="0"/>
              <w:suppressLineNumbers w:val="0"/>
              <w:spacing w:before="0" w:beforeAutospacing="0" w:after="0" w:afterAutospacing="0"/>
              <w:ind w:left="0" w:right="0"/>
              <w:jc w:val="center"/>
              <w:rPr>
                <w:rFonts w:hint="eastAsia" w:ascii="宋体" w:hAnsi="宋体" w:eastAsia="宋体" w:cs="宋体"/>
                <w:b/>
                <w:sz w:val="21"/>
                <w:szCs w:val="21"/>
              </w:rPr>
            </w:pPr>
            <w:r>
              <w:rPr>
                <w:rFonts w:hint="eastAsia" w:ascii="宋体" w:hAnsi="宋体" w:eastAsia="宋体" w:cs="宋体"/>
                <w:b/>
                <w:sz w:val="21"/>
                <w:szCs w:val="21"/>
              </w:rPr>
              <w:t>技术参数要求</w:t>
            </w:r>
          </w:p>
        </w:tc>
      </w:tr>
      <w:tr w14:paraId="49BB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444F4F58">
            <w:pPr>
              <w:keepNext w:val="0"/>
              <w:keepLines w:val="0"/>
              <w:numPr>
                <w:ilvl w:val="0"/>
                <w:numId w:val="0"/>
              </w:numPr>
              <w:suppressLineNumbers w:val="0"/>
              <w:spacing w:before="0" w:beforeAutospacing="0" w:after="0" w:afterAutospacing="0"/>
              <w:ind w:left="0" w:right="0" w:firstLine="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134" w:type="dxa"/>
            <w:vAlign w:val="center"/>
          </w:tcPr>
          <w:p w14:paraId="73266CFE">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电子门禁系统</w:t>
            </w:r>
          </w:p>
        </w:tc>
        <w:tc>
          <w:tcPr>
            <w:tcW w:w="709" w:type="dxa"/>
            <w:vAlign w:val="center"/>
          </w:tcPr>
          <w:p w14:paraId="4B9AB944">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8</w:t>
            </w:r>
          </w:p>
        </w:tc>
        <w:tc>
          <w:tcPr>
            <w:tcW w:w="708" w:type="dxa"/>
            <w:vAlign w:val="center"/>
          </w:tcPr>
          <w:p w14:paraId="4A9245A9">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套</w:t>
            </w:r>
          </w:p>
        </w:tc>
        <w:tc>
          <w:tcPr>
            <w:tcW w:w="5877" w:type="dxa"/>
          </w:tcPr>
          <w:p w14:paraId="78B1E057">
            <w:pPr>
              <w:keepNext w:val="0"/>
              <w:keepLines w:val="0"/>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sz w:val="21"/>
                <w:szCs w:val="21"/>
              </w:rPr>
              <w:t>外开铁防盗门，带安装，带双快电控锁体。</w:t>
            </w:r>
          </w:p>
          <w:p w14:paraId="7EA0333E">
            <w:pPr>
              <w:pStyle w:val="36"/>
              <w:keepNext w:val="0"/>
              <w:keepLines w:val="0"/>
              <w:numPr>
                <w:ilvl w:val="0"/>
                <w:numId w:val="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规格：950mm×2050mm（±1mm)。</w:t>
            </w:r>
          </w:p>
          <w:p w14:paraId="000620D6">
            <w:pPr>
              <w:pStyle w:val="36"/>
              <w:keepNext w:val="0"/>
              <w:keepLines w:val="0"/>
              <w:numPr>
                <w:ilvl w:val="0"/>
                <w:numId w:val="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门框：钢板厚度1.2mm，采用激光焊接技术。</w:t>
            </w:r>
          </w:p>
          <w:p w14:paraId="6B222F15">
            <w:pPr>
              <w:pStyle w:val="36"/>
              <w:keepNext w:val="0"/>
              <w:keepLines w:val="0"/>
              <w:numPr>
                <w:ilvl w:val="0"/>
                <w:numId w:val="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门槛、拉手：钢板厚度0.6mm，采用激光焊接技术。</w:t>
            </w:r>
          </w:p>
          <w:p w14:paraId="4D804D4E">
            <w:pPr>
              <w:pStyle w:val="36"/>
              <w:keepNext w:val="0"/>
              <w:keepLines w:val="0"/>
              <w:numPr>
                <w:ilvl w:val="0"/>
                <w:numId w:val="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门扇：钢板厚度0.6mm，采用激光焊接技术。</w:t>
            </w:r>
          </w:p>
          <w:p w14:paraId="21E51A9B">
            <w:pPr>
              <w:pStyle w:val="36"/>
              <w:keepNext w:val="0"/>
              <w:keepLines w:val="0"/>
              <w:numPr>
                <w:ilvl w:val="0"/>
                <w:numId w:val="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胶条：PVC密封胶条。</w:t>
            </w:r>
          </w:p>
          <w:p w14:paraId="01E1A33D">
            <w:pPr>
              <w:pStyle w:val="36"/>
              <w:keepNext w:val="0"/>
              <w:keepLines w:val="0"/>
              <w:numPr>
                <w:ilvl w:val="0"/>
                <w:numId w:val="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内填充料：加强筋、蜂窝板，门扇内全部填充。</w:t>
            </w:r>
          </w:p>
          <w:p w14:paraId="54B5B1FD">
            <w:pPr>
              <w:pStyle w:val="36"/>
              <w:keepNext w:val="0"/>
              <w:keepLines w:val="0"/>
              <w:numPr>
                <w:ilvl w:val="0"/>
                <w:numId w:val="7"/>
              </w:numPr>
              <w:suppressLineNumbers w:val="0"/>
              <w:spacing w:before="0" w:beforeAutospacing="0" w:after="0" w:afterAutospacing="0"/>
              <w:ind w:right="0" w:firstLineChars="0"/>
              <w:rPr>
                <w:rFonts w:hint="eastAsia" w:ascii="宋体" w:hAnsi="宋体" w:eastAsia="宋体" w:cs="宋体"/>
                <w:sz w:val="21"/>
                <w:szCs w:val="21"/>
                <w:lang w:bidi="ar"/>
              </w:rPr>
            </w:pPr>
            <w:r>
              <w:rPr>
                <w:rFonts w:hint="eastAsia" w:ascii="宋体" w:hAnsi="宋体" w:eastAsia="宋体" w:cs="宋体"/>
                <w:sz w:val="21"/>
                <w:szCs w:val="21"/>
              </w:rPr>
              <w:t>门外表先后通过三层底漆级磷化防锈处理，可根据用户要求定制修改。</w:t>
            </w:r>
          </w:p>
        </w:tc>
      </w:tr>
      <w:tr w14:paraId="418B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46D931EE">
            <w:pPr>
              <w:keepNext w:val="0"/>
              <w:keepLines w:val="0"/>
              <w:numPr>
                <w:ilvl w:val="0"/>
                <w:numId w:val="0"/>
              </w:numPr>
              <w:suppressLineNumbers w:val="0"/>
              <w:spacing w:before="0" w:beforeAutospacing="0" w:after="0" w:afterAutospacing="0"/>
              <w:ind w:left="0" w:right="0" w:firstLine="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134" w:type="dxa"/>
            <w:vAlign w:val="center"/>
          </w:tcPr>
          <w:p w14:paraId="5C12A3A3">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电子玻璃门禁系统</w:t>
            </w:r>
          </w:p>
        </w:tc>
        <w:tc>
          <w:tcPr>
            <w:tcW w:w="709" w:type="dxa"/>
            <w:vAlign w:val="center"/>
          </w:tcPr>
          <w:p w14:paraId="5D68938B">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8</w:t>
            </w:r>
          </w:p>
        </w:tc>
        <w:tc>
          <w:tcPr>
            <w:tcW w:w="708" w:type="dxa"/>
            <w:vAlign w:val="center"/>
          </w:tcPr>
          <w:p w14:paraId="31ACAA13">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门</w:t>
            </w:r>
          </w:p>
        </w:tc>
        <w:tc>
          <w:tcPr>
            <w:tcW w:w="5877" w:type="dxa"/>
          </w:tcPr>
          <w:p w14:paraId="007CB5E5">
            <w:pPr>
              <w:pStyle w:val="36"/>
              <w:keepNext w:val="0"/>
              <w:keepLines w:val="0"/>
              <w:numPr>
                <w:ilvl w:val="0"/>
                <w:numId w:val="8"/>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电动玻璃平移门整机参数：</w:t>
            </w:r>
          </w:p>
          <w:p w14:paraId="39CDF62F">
            <w:pPr>
              <w:pStyle w:val="36"/>
              <w:keepNext w:val="0"/>
              <w:keepLines w:val="0"/>
              <w:numPr>
                <w:ilvl w:val="0"/>
                <w:numId w:val="9"/>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门体结构：</w:t>
            </w:r>
          </w:p>
          <w:p w14:paraId="76E59D11">
            <w:pPr>
              <w:pStyle w:val="36"/>
              <w:keepNext w:val="0"/>
              <w:keepLines w:val="0"/>
              <w:numPr>
                <w:ilvl w:val="0"/>
                <w:numId w:val="1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玻璃：10mm单层钢化3C认证中空玻璃，具备隔音隔热性能。</w:t>
            </w:r>
          </w:p>
          <w:p w14:paraId="36A75CD5">
            <w:pPr>
              <w:pStyle w:val="36"/>
              <w:keepNext w:val="0"/>
              <w:keepLines w:val="0"/>
              <w:numPr>
                <w:ilvl w:val="0"/>
                <w:numId w:val="1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门框：6063-T5加厚铝合金型材，壁厚≥1.2mm，氟碳防腐喷涂处理。</w:t>
            </w:r>
          </w:p>
          <w:p w14:paraId="0319289D">
            <w:pPr>
              <w:pStyle w:val="36"/>
              <w:keepNext w:val="0"/>
              <w:keepLines w:val="0"/>
              <w:numPr>
                <w:ilvl w:val="0"/>
                <w:numId w:val="1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通行规格：总宽1400mm，门高2100–2400mm，单扇玻璃门。</w:t>
            </w:r>
          </w:p>
          <w:p w14:paraId="035E15BF">
            <w:pPr>
              <w:pStyle w:val="36"/>
              <w:keepNext w:val="0"/>
              <w:keepLines w:val="0"/>
              <w:numPr>
                <w:ilvl w:val="0"/>
                <w:numId w:val="1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密封配件：三元乙丙隔音防尘胶条、底部防风毛刷。</w:t>
            </w:r>
          </w:p>
          <w:p w14:paraId="10DAFDA2">
            <w:pPr>
              <w:pStyle w:val="36"/>
              <w:keepNext w:val="0"/>
              <w:keepLines w:val="0"/>
              <w:numPr>
                <w:ilvl w:val="0"/>
                <w:numId w:val="1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轨道滑轮：加厚铝合金承重轨道、静音耐磨防脱滑轮，配备前后限位缓冲装置。</w:t>
            </w:r>
          </w:p>
          <w:p w14:paraId="4BF8E10F">
            <w:pPr>
              <w:pStyle w:val="36"/>
              <w:keepNext w:val="0"/>
              <w:keepLines w:val="0"/>
              <w:numPr>
                <w:ilvl w:val="0"/>
                <w:numId w:val="9"/>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自动驱动机组：</w:t>
            </w:r>
          </w:p>
          <w:p w14:paraId="2A247271">
            <w:pPr>
              <w:pStyle w:val="36"/>
              <w:keepNext w:val="0"/>
              <w:keepLines w:val="0"/>
              <w:numPr>
                <w:ilvl w:val="0"/>
                <w:numId w:val="1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电机：DC24V无刷静音电机，功率180–250W，空载运行噪音≤50dB。</w:t>
            </w:r>
          </w:p>
          <w:p w14:paraId="5A984BB7">
            <w:pPr>
              <w:pStyle w:val="36"/>
              <w:keepNext w:val="0"/>
              <w:keepLines w:val="0"/>
              <w:numPr>
                <w:ilvl w:val="0"/>
                <w:numId w:val="1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运行参数：开关速度0.2–0.45m/s无级可调，开门延时0–10s自定义设置。</w:t>
            </w:r>
          </w:p>
          <w:p w14:paraId="311C9DBF">
            <w:pPr>
              <w:pStyle w:val="36"/>
              <w:keepNext w:val="0"/>
              <w:keepLines w:val="0"/>
              <w:numPr>
                <w:ilvl w:val="0"/>
                <w:numId w:val="1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安全防护：顶部毫米波人体感应雷达，探测距离0.3–8m，广角120°；底部细密红外安全光幕，检测到障碍物自动回弹防夹。</w:t>
            </w:r>
          </w:p>
          <w:p w14:paraId="09404C2A">
            <w:pPr>
              <w:pStyle w:val="36"/>
              <w:keepNext w:val="0"/>
              <w:keepLines w:val="0"/>
              <w:numPr>
                <w:ilvl w:val="0"/>
                <w:numId w:val="1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信号对接：主控板预留无源干接点开门信号接口，可直接接入钉钉人脸门禁继电器输出信号。</w:t>
            </w:r>
          </w:p>
          <w:p w14:paraId="2BDDC2D0">
            <w:pPr>
              <w:pStyle w:val="36"/>
              <w:keepNext w:val="0"/>
              <w:keepLines w:val="0"/>
              <w:numPr>
                <w:ilvl w:val="0"/>
                <w:numId w:val="1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防护等级：电机IP54、控制盒IP55。</w:t>
            </w:r>
          </w:p>
          <w:p w14:paraId="6FEB80A8">
            <w:pPr>
              <w:pStyle w:val="36"/>
              <w:keepNext w:val="0"/>
              <w:keepLines w:val="0"/>
              <w:numPr>
                <w:ilvl w:val="0"/>
                <w:numId w:val="1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应急功能：断电支持手动推拉，接收消防信号强制全开，运行遇阻自动反向关门保护。</w:t>
            </w:r>
          </w:p>
          <w:p w14:paraId="3F329E2A">
            <w:pPr>
              <w:pStyle w:val="36"/>
              <w:keepNext w:val="0"/>
              <w:keepLines w:val="0"/>
              <w:numPr>
                <w:ilvl w:val="0"/>
                <w:numId w:val="1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工作环境：适用温度区间-20℃~+60℃，室内、半室外场景均可安装使用。</w:t>
            </w:r>
          </w:p>
          <w:p w14:paraId="50E04408">
            <w:pPr>
              <w:pStyle w:val="36"/>
              <w:keepNext w:val="0"/>
              <w:keepLines w:val="0"/>
              <w:numPr>
                <w:ilvl w:val="0"/>
                <w:numId w:val="8"/>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适配钉钉平台的人脸识别门禁一体机：</w:t>
            </w:r>
          </w:p>
          <w:p w14:paraId="0E8473B2">
            <w:pPr>
              <w:pStyle w:val="36"/>
              <w:keepNext w:val="0"/>
              <w:keepLines w:val="0"/>
              <w:numPr>
                <w:ilvl w:val="0"/>
                <w:numId w:val="12"/>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Cs/>
                <w:sz w:val="21"/>
                <w:szCs w:val="21"/>
              </w:rPr>
              <w:t>★</w:t>
            </w:r>
            <w:r>
              <w:rPr>
                <w:rFonts w:hint="eastAsia" w:ascii="宋体" w:hAnsi="宋体" w:eastAsia="宋体" w:cs="宋体"/>
                <w:b/>
                <w:bCs/>
                <w:sz w:val="21"/>
                <w:szCs w:val="21"/>
              </w:rPr>
              <w:t>硬件识别核心参数：</w:t>
            </w:r>
          </w:p>
          <w:p w14:paraId="6073FC67">
            <w:pPr>
              <w:pStyle w:val="36"/>
              <w:keepNext w:val="0"/>
              <w:keepLines w:val="0"/>
              <w:numPr>
                <w:ilvl w:val="0"/>
                <w:numId w:val="1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镜头：双目200万高清CMOS摄像头，可见光+红外混合光谱活体检测，可有效抵御照片、视频、3D面具等作弊手段。</w:t>
            </w:r>
          </w:p>
          <w:p w14:paraId="534E53BF">
            <w:pPr>
              <w:pStyle w:val="36"/>
              <w:keepNext w:val="0"/>
              <w:keepLines w:val="0"/>
              <w:numPr>
                <w:ilvl w:val="0"/>
                <w:numId w:val="1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识别性能：0.3秒极速人脸比对，识别距离0.3–1.5m，适配通行人员身高1.2–2.2m，水平±60°、俯仰±30°大角度识别。</w:t>
            </w:r>
          </w:p>
          <w:p w14:paraId="5A287341">
            <w:pPr>
              <w:pStyle w:val="36"/>
              <w:keepNext w:val="0"/>
              <w:keepLines w:val="0"/>
              <w:numPr>
                <w:ilvl w:val="0"/>
                <w:numId w:val="1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识别准确率：真人通行通过率≥99.99%，虚假人脸拒识率＜0.01%。</w:t>
            </w:r>
          </w:p>
          <w:p w14:paraId="42F8504A">
            <w:pPr>
              <w:pStyle w:val="36"/>
              <w:keepNext w:val="0"/>
              <w:keepLines w:val="0"/>
              <w:numPr>
                <w:ilvl w:val="0"/>
                <w:numId w:val="1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屏幕：5英寸IPS触摸彩屏，内置红外+白光双补光，0lux全黑暗环境可正常识别人脸。</w:t>
            </w:r>
          </w:p>
          <w:p w14:paraId="3D325630">
            <w:pPr>
              <w:pStyle w:val="36"/>
              <w:keepNext w:val="0"/>
              <w:keepLines w:val="0"/>
              <w:numPr>
                <w:ilvl w:val="0"/>
                <w:numId w:val="12"/>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Cs/>
                <w:sz w:val="21"/>
                <w:szCs w:val="21"/>
              </w:rPr>
              <w:t>★</w:t>
            </w:r>
            <w:r>
              <w:rPr>
                <w:rFonts w:hint="eastAsia" w:ascii="宋体" w:hAnsi="宋体" w:eastAsia="宋体" w:cs="宋体"/>
                <w:b/>
                <w:bCs/>
                <w:sz w:val="21"/>
                <w:szCs w:val="21"/>
              </w:rPr>
              <w:t>存储与钉钉云联动能力：</w:t>
            </w:r>
          </w:p>
          <w:p w14:paraId="126C341F">
            <w:pPr>
              <w:pStyle w:val="36"/>
              <w:keepNext w:val="0"/>
              <w:keepLines w:val="0"/>
              <w:numPr>
                <w:ilvl w:val="0"/>
                <w:numId w:val="14"/>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离线人脸库：本地支持存储10000张人脸信息，断网状态下可独立完成识别人脸开门。</w:t>
            </w:r>
          </w:p>
          <w:p w14:paraId="6B7FF5D9">
            <w:pPr>
              <w:pStyle w:val="36"/>
              <w:keepNext w:val="0"/>
              <w:keepLines w:val="0"/>
              <w:numPr>
                <w:ilvl w:val="0"/>
                <w:numId w:val="14"/>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通行记录：本地存储10万条人脸抓拍通行记录，设备联网后数据自动同步钉钉后台永久留存。</w:t>
            </w:r>
          </w:p>
          <w:p w14:paraId="23E61FCC">
            <w:pPr>
              <w:pStyle w:val="36"/>
              <w:keepNext w:val="0"/>
              <w:keepLines w:val="0"/>
              <w:numPr>
                <w:ilvl w:val="0"/>
                <w:numId w:val="14"/>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钉钉原生适配：设备直接绑定企业钉钉组织架构，员工入职自动同步人脸通行权限，离职自动回收门禁权限；刷脸开门同步生成钉钉考勤打卡记录，无需额外部署打卡设备。</w:t>
            </w:r>
          </w:p>
          <w:p w14:paraId="4E260D08">
            <w:pPr>
              <w:pStyle w:val="36"/>
              <w:keepNext w:val="0"/>
              <w:keepLines w:val="0"/>
              <w:numPr>
                <w:ilvl w:val="0"/>
                <w:numId w:val="12"/>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b/>
                <w:bCs/>
                <w:sz w:val="21"/>
                <w:szCs w:val="21"/>
              </w:rPr>
              <w:t>开门认证方式：</w:t>
            </w:r>
            <w:r>
              <w:rPr>
                <w:rFonts w:hint="eastAsia" w:ascii="宋体" w:hAnsi="宋体" w:eastAsia="宋体" w:cs="宋体"/>
                <w:sz w:val="21"/>
                <w:szCs w:val="21"/>
              </w:rPr>
              <w:t>以人脸识别为主，兼容钉钉手机远程开门、访客临时二维码开门，可选配IC卡刷卡模块；支持单人验证、人脸+刷卡双重权限校验模式。</w:t>
            </w:r>
          </w:p>
          <w:p w14:paraId="4F45A967">
            <w:pPr>
              <w:pStyle w:val="36"/>
              <w:keepNext w:val="0"/>
              <w:keepLines w:val="0"/>
              <w:numPr>
                <w:ilvl w:val="0"/>
                <w:numId w:val="12"/>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联动接口（对接电动平移门核心配置）：</w:t>
            </w:r>
          </w:p>
          <w:p w14:paraId="7C4C00A6">
            <w:pPr>
              <w:pStyle w:val="36"/>
              <w:keepNext w:val="0"/>
              <w:keepLines w:val="0"/>
              <w:numPr>
                <w:ilvl w:val="0"/>
                <w:numId w:val="15"/>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继电器无源干接点输出：人脸核验通过后输出开关信号，传输至自动门主控，触发平移门自动开启。</w:t>
            </w:r>
          </w:p>
          <w:p w14:paraId="7C1388D1">
            <w:pPr>
              <w:pStyle w:val="36"/>
              <w:keepNext w:val="0"/>
              <w:keepLines w:val="0"/>
              <w:numPr>
                <w:ilvl w:val="0"/>
                <w:numId w:val="15"/>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网络通讯：2.4G Wi-Fi+有线RJ45双网络连接，搭载蓝牙4.0。</w:t>
            </w:r>
          </w:p>
          <w:p w14:paraId="0E523E11">
            <w:pPr>
              <w:pStyle w:val="36"/>
              <w:keepNext w:val="0"/>
              <w:keepLines w:val="0"/>
              <w:numPr>
                <w:ilvl w:val="0"/>
                <w:numId w:val="15"/>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外接端子：支持门磁信号输入、出门按钮、消防联动、设备防拆报警，配备10PIN多功能接线端子。</w:t>
            </w:r>
          </w:p>
          <w:p w14:paraId="462D9CB7">
            <w:pPr>
              <w:pStyle w:val="36"/>
              <w:keepNext w:val="0"/>
              <w:keepLines w:val="0"/>
              <w:numPr>
                <w:ilvl w:val="0"/>
                <w:numId w:val="15"/>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供电规格：标准DC12V/2A供电，整机工作功耗＜15W。</w:t>
            </w:r>
          </w:p>
          <w:p w14:paraId="1B1D49C6">
            <w:pPr>
              <w:pStyle w:val="36"/>
              <w:keepNext w:val="0"/>
              <w:keepLines w:val="0"/>
              <w:numPr>
                <w:ilvl w:val="0"/>
                <w:numId w:val="15"/>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防护与安装：室内防护等级IP54，壁挂式安装，标准安装高度1.4–1.6m。</w:t>
            </w:r>
          </w:p>
          <w:p w14:paraId="0FD54F8C">
            <w:pPr>
              <w:pStyle w:val="36"/>
              <w:keepNext w:val="0"/>
              <w:keepLines w:val="0"/>
              <w:numPr>
                <w:ilvl w:val="0"/>
                <w:numId w:val="12"/>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Cs/>
                <w:sz w:val="21"/>
                <w:szCs w:val="21"/>
              </w:rPr>
              <w:t>★</w:t>
            </w:r>
            <w:r>
              <w:rPr>
                <w:rFonts w:hint="eastAsia" w:ascii="宋体" w:hAnsi="宋体" w:eastAsia="宋体" w:cs="宋体"/>
                <w:b/>
                <w:bCs/>
                <w:sz w:val="21"/>
                <w:szCs w:val="21"/>
              </w:rPr>
              <w:t>钉钉云端后台管理功能：</w:t>
            </w:r>
          </w:p>
          <w:p w14:paraId="5ED0CC20">
            <w:pPr>
              <w:pStyle w:val="36"/>
              <w:keepNext w:val="0"/>
              <w:keepLines w:val="0"/>
              <w:numPr>
                <w:ilvl w:val="0"/>
                <w:numId w:val="16"/>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权限管控：钉钉APP、电脑管理后台可分时段设置人员通行权限，区分工作日、节假日限时放行规则。</w:t>
            </w:r>
          </w:p>
          <w:p w14:paraId="55AF8A21">
            <w:pPr>
              <w:pStyle w:val="36"/>
              <w:keepNext w:val="0"/>
              <w:keepLines w:val="0"/>
              <w:numPr>
                <w:ilvl w:val="0"/>
                <w:numId w:val="16"/>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访客管理：访客通过钉钉发起预约，被访人员手机确认后生成临时通行二维码，开门记录自动归档。</w:t>
            </w:r>
          </w:p>
          <w:p w14:paraId="09E337C0">
            <w:pPr>
              <w:pStyle w:val="36"/>
              <w:keepNext w:val="0"/>
              <w:keepLines w:val="0"/>
              <w:numPr>
                <w:ilvl w:val="0"/>
                <w:numId w:val="16"/>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异常告警：设备遭遇撬拆、门长时间未关闭、多次人脸验证失败，钉钉消息实时推送管理员。</w:t>
            </w:r>
          </w:p>
          <w:p w14:paraId="3966D581">
            <w:pPr>
              <w:pStyle w:val="36"/>
              <w:keepNext w:val="0"/>
              <w:keepLines w:val="0"/>
              <w:numPr>
                <w:ilvl w:val="0"/>
                <w:numId w:val="16"/>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数据导出：可按日期、部门分类导出开门记录、考勤报表、访客通行台账。</w:t>
            </w:r>
          </w:p>
          <w:p w14:paraId="1F3884A9">
            <w:pPr>
              <w:pStyle w:val="36"/>
              <w:keepNext w:val="0"/>
              <w:keepLines w:val="0"/>
              <w:numPr>
                <w:ilvl w:val="0"/>
                <w:numId w:val="16"/>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拓展对接：支持钉钉OPENAPI接口，可对接校园、园区综合管理平台。</w:t>
            </w:r>
          </w:p>
          <w:p w14:paraId="25380978">
            <w:pPr>
              <w:pStyle w:val="36"/>
              <w:keepNext w:val="0"/>
              <w:keepLines w:val="0"/>
              <w:numPr>
                <w:ilvl w:val="0"/>
                <w:numId w:val="8"/>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整套配套联动辅材参数：</w:t>
            </w:r>
          </w:p>
          <w:p w14:paraId="356A943E">
            <w:pPr>
              <w:pStyle w:val="36"/>
              <w:keepNext w:val="0"/>
              <w:keepLines w:val="0"/>
              <w:numPr>
                <w:ilvl w:val="0"/>
                <w:numId w:val="1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出门按钮：无源明装防水出门开关，手动触发关门信号。</w:t>
            </w:r>
          </w:p>
          <w:p w14:paraId="24DC614A">
            <w:pPr>
              <w:pStyle w:val="36"/>
              <w:keepNext w:val="0"/>
              <w:keepLines w:val="0"/>
              <w:numPr>
                <w:ilvl w:val="0"/>
                <w:numId w:val="1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门磁传感器：实时监测玻璃门开合状态，门体超时未关闭时钉钉推送告警信息。</w:t>
            </w:r>
          </w:p>
          <w:p w14:paraId="66360870">
            <w:pPr>
              <w:pStyle w:val="36"/>
              <w:keepNext w:val="0"/>
              <w:keepLines w:val="0"/>
              <w:numPr>
                <w:ilvl w:val="0"/>
                <w:numId w:val="1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联动控制线：国标屏蔽信号线，用于传输人脸开门干接点信号。</w:t>
            </w:r>
          </w:p>
          <w:p w14:paraId="49B65215">
            <w:pPr>
              <w:pStyle w:val="36"/>
              <w:keepNext w:val="0"/>
              <w:keepLines w:val="0"/>
              <w:numPr>
                <w:ilvl w:val="0"/>
                <w:numId w:val="1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UPS后备电源：规格12V/7Ah，断电后可整套供电门体与门禁设备不少于2小时。</w:t>
            </w:r>
          </w:p>
          <w:p w14:paraId="0579AF0D">
            <w:pPr>
              <w:pStyle w:val="36"/>
              <w:keepNext w:val="0"/>
              <w:keepLines w:val="0"/>
              <w:numPr>
                <w:ilvl w:val="0"/>
                <w:numId w:val="1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消防联动模块：接入消防主机，接收到火警信号后自动解锁平移门，保持全开状态。</w:t>
            </w:r>
          </w:p>
          <w:p w14:paraId="516F3945">
            <w:pPr>
              <w:pStyle w:val="36"/>
              <w:keepNext w:val="0"/>
              <w:keepLines w:val="0"/>
              <w:numPr>
                <w:ilvl w:val="0"/>
                <w:numId w:val="1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安装耗材：壁挂安装支架、专用电源适配器、阻燃电源线、固定五金全套配件。</w:t>
            </w:r>
          </w:p>
        </w:tc>
      </w:tr>
      <w:tr w14:paraId="6A42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1B46071B">
            <w:pPr>
              <w:keepNext w:val="0"/>
              <w:keepLines w:val="0"/>
              <w:numPr>
                <w:ilvl w:val="0"/>
                <w:numId w:val="0"/>
              </w:numPr>
              <w:suppressLineNumbers w:val="0"/>
              <w:spacing w:before="0" w:beforeAutospacing="0" w:after="0" w:afterAutospacing="0"/>
              <w:ind w:left="0" w:right="0" w:firstLine="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134" w:type="dxa"/>
            <w:vAlign w:val="center"/>
          </w:tcPr>
          <w:p w14:paraId="766425C2">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放射性监测系统</w:t>
            </w:r>
          </w:p>
        </w:tc>
        <w:tc>
          <w:tcPr>
            <w:tcW w:w="709" w:type="dxa"/>
            <w:vAlign w:val="center"/>
          </w:tcPr>
          <w:p w14:paraId="2347B039">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4</w:t>
            </w:r>
          </w:p>
        </w:tc>
        <w:tc>
          <w:tcPr>
            <w:tcW w:w="708" w:type="dxa"/>
            <w:vAlign w:val="center"/>
          </w:tcPr>
          <w:p w14:paraId="1D2848D6">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套</w:t>
            </w:r>
          </w:p>
        </w:tc>
        <w:tc>
          <w:tcPr>
            <w:tcW w:w="5877" w:type="dxa"/>
            <w:vAlign w:val="center"/>
          </w:tcPr>
          <w:p w14:paraId="4A563282">
            <w:pPr>
              <w:pStyle w:val="36"/>
              <w:keepNext w:val="0"/>
              <w:keepLines w:val="0"/>
              <w:numPr>
                <w:ilvl w:val="0"/>
                <w:numId w:val="18"/>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b/>
                <w:bCs/>
                <w:sz w:val="21"/>
                <w:szCs w:val="21"/>
              </w:rPr>
              <w:t>总体概述：</w:t>
            </w:r>
            <w:r>
              <w:rPr>
                <w:rFonts w:hint="eastAsia" w:ascii="宋体" w:hAnsi="宋体" w:eastAsia="宋体" w:cs="宋体"/>
                <w:sz w:val="21"/>
                <w:szCs w:val="21"/>
              </w:rPr>
              <w:t>针对实验室辐射环境监测需求，搭建全天候、自动化、智能化辐射在线监测体系。可实现7×24小时无人值守连续监测、数据无线上传、超标报警、数据存储溯源、设备远程运维等功能，系统兼容性强、运维统一、可后期扩容升级。</w:t>
            </w:r>
          </w:p>
          <w:p w14:paraId="0C05701E">
            <w:pPr>
              <w:pStyle w:val="36"/>
              <w:keepNext w:val="0"/>
              <w:keepLines w:val="0"/>
              <w:numPr>
                <w:ilvl w:val="0"/>
                <w:numId w:val="18"/>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核心硬件技术参数（全场景统一型号）：</w:t>
            </w:r>
          </w:p>
          <w:p w14:paraId="1D68DB1A">
            <w:pPr>
              <w:pStyle w:val="36"/>
              <w:keepNext w:val="0"/>
              <w:keepLines w:val="0"/>
              <w:numPr>
                <w:ilvl w:val="0"/>
                <w:numId w:val="19"/>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本项目所有监测点位统一采用工业级辐射监测探头，设备为工业级标准化成品，出厂附带完整计量校准资料，即装即用、稳定可靠，满足实验室辐射环境在线监测使用要求。</w:t>
            </w:r>
          </w:p>
          <w:p w14:paraId="68DEB448">
            <w:pPr>
              <w:pStyle w:val="36"/>
              <w:keepNext w:val="0"/>
              <w:keepLines w:val="0"/>
              <w:numPr>
                <w:ilvl w:val="0"/>
                <w:numId w:val="19"/>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设备为标准化工业级在线辐射探测设备，整机结构成熟、接口通用，适配实验室长期在线监测工况，统一参数如下：</w:t>
            </w:r>
          </w:p>
          <w:p w14:paraId="2A5CAAAB">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设备名称：工业级在线辐射监测探头。</w:t>
            </w:r>
          </w:p>
          <w:p w14:paraId="6BCDD7B6">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测量射线类型：支持X射线、γ射线、硬β射线监测。</w:t>
            </w:r>
          </w:p>
          <w:p w14:paraId="638A7B28">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剂量率测量范围：0.01μSv/h～10Sv/h。</w:t>
            </w:r>
          </w:p>
          <w:p w14:paraId="3C70FBD8">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测量精度：整机相对示值误差≤±10%。</w:t>
            </w:r>
          </w:p>
          <w:p w14:paraId="40461977">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响应时间：≤1s。</w:t>
            </w:r>
          </w:p>
          <w:p w14:paraId="719DE201">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数据采集频率：默认1s/次，支持10s～30min自定义调节。</w:t>
            </w:r>
          </w:p>
          <w:p w14:paraId="1F601B72">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通讯方式：RS485接口，标准Modbus RTU协议。</w:t>
            </w:r>
          </w:p>
          <w:p w14:paraId="02989E23">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供电规格：DC12V/24V宽电压直流供电。</w:t>
            </w:r>
          </w:p>
          <w:p w14:paraId="16B5AB9E">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防护等级：IP66。</w:t>
            </w:r>
          </w:p>
          <w:p w14:paraId="57CB200E">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工作环境：工作温度-20℃～+50℃，相对湿度10%～95%（无凝露）。</w:t>
            </w:r>
          </w:p>
          <w:p w14:paraId="6AD4ADAA">
            <w:pPr>
              <w:pStyle w:val="36"/>
              <w:keepNext w:val="0"/>
              <w:keepLines w:val="0"/>
              <w:numPr>
                <w:ilvl w:val="0"/>
                <w:numId w:val="2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交付要求：全新工业级成品，出厂配备产品合格证、权威计量校准证书、整机检测报告。</w:t>
            </w:r>
          </w:p>
          <w:p w14:paraId="039C18AF">
            <w:pPr>
              <w:pStyle w:val="36"/>
              <w:keepNext w:val="0"/>
              <w:keepLines w:val="0"/>
              <w:numPr>
                <w:ilvl w:val="0"/>
                <w:numId w:val="19"/>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工业级4G DTU传输模块参数：</w:t>
            </w:r>
          </w:p>
          <w:p w14:paraId="0F1586C6">
            <w:pPr>
              <w:pStyle w:val="36"/>
              <w:keepNext w:val="0"/>
              <w:keepLines w:val="0"/>
              <w:numPr>
                <w:ilvl w:val="0"/>
                <w:numId w:val="2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网络制式：全网通4G，兼容移动、联通、电信，向下兼容3G/2G，自动切换网络。</w:t>
            </w:r>
          </w:p>
          <w:p w14:paraId="260B6FE8">
            <w:pPr>
              <w:pStyle w:val="36"/>
              <w:keepNext w:val="0"/>
              <w:keepLines w:val="0"/>
              <w:numPr>
                <w:ilvl w:val="0"/>
                <w:numId w:val="2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通讯接口：</w:t>
            </w:r>
            <w:r>
              <w:rPr>
                <w:rFonts w:hint="eastAsia" w:ascii="宋体" w:hAnsi="宋体" w:eastAsia="宋体" w:cs="宋体"/>
                <w:sz w:val="21"/>
                <w:szCs w:val="21"/>
                <w:lang w:val="en-US" w:eastAsia="zh-CN"/>
              </w:rPr>
              <w:t>支持</w:t>
            </w:r>
            <w:r>
              <w:rPr>
                <w:rFonts w:hint="eastAsia" w:ascii="宋体" w:hAnsi="宋体" w:eastAsia="宋体" w:cs="宋体"/>
                <w:sz w:val="21"/>
                <w:szCs w:val="21"/>
              </w:rPr>
              <w:t>RS485接口，完美适配探头Modbus RTU协议，支持透明数据传输。</w:t>
            </w:r>
          </w:p>
          <w:p w14:paraId="6EC9858A">
            <w:pPr>
              <w:pStyle w:val="36"/>
              <w:keepNext w:val="0"/>
              <w:keepLines w:val="0"/>
              <w:numPr>
                <w:ilvl w:val="0"/>
                <w:numId w:val="2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传输性能：数据传输延迟≤500ms，断线自动重连≤3s，支持本地数据缓存，防止断网数据丢失。</w:t>
            </w:r>
          </w:p>
          <w:p w14:paraId="0B35EC51">
            <w:pPr>
              <w:pStyle w:val="36"/>
              <w:keepNext w:val="0"/>
              <w:keepLines w:val="0"/>
              <w:numPr>
                <w:ilvl w:val="0"/>
                <w:numId w:val="2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运行能力：工业级ARM处理器，支持7×24h不间断运行，耐高温、抗干扰。</w:t>
            </w:r>
          </w:p>
          <w:p w14:paraId="7D188E25">
            <w:pPr>
              <w:pStyle w:val="36"/>
              <w:keepNext w:val="0"/>
              <w:keepLines w:val="0"/>
              <w:numPr>
                <w:ilvl w:val="0"/>
                <w:numId w:val="2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安全机制：支持TCP/IP、MQTT协议，数据加密传输，防止篡改、泄露。</w:t>
            </w:r>
          </w:p>
          <w:p w14:paraId="3BD80413">
            <w:pPr>
              <w:pStyle w:val="36"/>
              <w:keepNext w:val="0"/>
              <w:keepLines w:val="0"/>
              <w:numPr>
                <w:ilvl w:val="0"/>
                <w:numId w:val="2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运维功能：支持心跳检测、在线监测、远程配置、远程重启、故障自检。</w:t>
            </w:r>
          </w:p>
          <w:p w14:paraId="4F1068B3">
            <w:pPr>
              <w:pStyle w:val="36"/>
              <w:keepNext w:val="0"/>
              <w:keepLines w:val="0"/>
              <w:numPr>
                <w:ilvl w:val="0"/>
                <w:numId w:val="2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供电规格：DC9V～36V宽压供电，适配现场多种供电环境。</w:t>
            </w:r>
          </w:p>
          <w:p w14:paraId="6B5E184F">
            <w:pPr>
              <w:pStyle w:val="36"/>
              <w:keepNext w:val="0"/>
              <w:keepLines w:val="0"/>
              <w:numPr>
                <w:ilvl w:val="0"/>
                <w:numId w:val="18"/>
              </w:numPr>
              <w:suppressLineNumbers w:val="0"/>
              <w:spacing w:before="0" w:beforeAutospacing="0" w:after="0" w:afterAutospacing="0"/>
              <w:ind w:right="0" w:firstLineChars="0"/>
              <w:rPr>
                <w:rFonts w:hint="eastAsia" w:ascii="宋体" w:hAnsi="宋体" w:eastAsia="宋体" w:cs="宋体"/>
                <w:b/>
                <w:bCs w:val="0"/>
                <w:sz w:val="21"/>
                <w:szCs w:val="21"/>
              </w:rPr>
            </w:pPr>
            <w:r>
              <w:rPr>
                <w:rFonts w:hint="eastAsia" w:ascii="宋体" w:hAnsi="宋体" w:eastAsia="宋体" w:cs="宋体"/>
                <w:b/>
                <w:bCs w:val="0"/>
                <w:sz w:val="21"/>
                <w:szCs w:val="21"/>
              </w:rPr>
              <w:t>★软件平台功能参数（APP+云端后台）：定制</w:t>
            </w:r>
            <w:r>
              <w:rPr>
                <w:rFonts w:hint="eastAsia" w:ascii="宋体" w:hAnsi="宋体" w:eastAsia="宋体" w:cs="宋体"/>
                <w:b/>
                <w:bCs w:val="0"/>
                <w:sz w:val="21"/>
                <w:szCs w:val="21"/>
                <w:lang w:val="en-US" w:eastAsia="zh-CN"/>
              </w:rPr>
              <w:t>本单位</w:t>
            </w:r>
            <w:r>
              <w:rPr>
                <w:rFonts w:hint="eastAsia" w:ascii="宋体" w:hAnsi="宋体" w:eastAsia="宋体" w:cs="宋体"/>
                <w:b/>
                <w:bCs w:val="0"/>
                <w:sz w:val="21"/>
                <w:szCs w:val="21"/>
              </w:rPr>
              <w:t>专属LOGO微信小程序放射性监测软件系统，含3年软件使用费，3年后使用费用另行采购。系统自主可控、无第三方绑定，支持全点位统一管控。</w:t>
            </w:r>
          </w:p>
          <w:p w14:paraId="2C223D8E">
            <w:pPr>
              <w:pStyle w:val="36"/>
              <w:keepNext w:val="0"/>
              <w:keepLines w:val="0"/>
              <w:numPr>
                <w:ilvl w:val="0"/>
                <w:numId w:val="22"/>
              </w:numPr>
              <w:suppressLineNumbers w:val="0"/>
              <w:spacing w:before="0" w:beforeAutospacing="0" w:after="0" w:afterAutospacing="0"/>
              <w:ind w:right="0" w:firstLineChars="0"/>
              <w:rPr>
                <w:rFonts w:hint="eastAsia" w:ascii="宋体" w:hAnsi="宋体" w:eastAsia="宋体" w:cs="宋体"/>
                <w:b/>
                <w:bCs w:val="0"/>
                <w:sz w:val="21"/>
                <w:szCs w:val="21"/>
              </w:rPr>
            </w:pPr>
            <w:r>
              <w:rPr>
                <w:rFonts w:hint="eastAsia" w:ascii="宋体" w:hAnsi="宋体" w:eastAsia="宋体" w:cs="宋体"/>
                <w:b/>
                <w:bCs w:val="0"/>
                <w:sz w:val="21"/>
                <w:szCs w:val="21"/>
              </w:rPr>
              <w:t>移动端APP功能：</w:t>
            </w:r>
          </w:p>
          <w:p w14:paraId="2C9BB4EC">
            <w:pPr>
              <w:pStyle w:val="36"/>
              <w:keepNext w:val="0"/>
              <w:keepLines w:val="0"/>
              <w:numPr>
                <w:ilvl w:val="0"/>
                <w:numId w:val="2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实时数据监测：实时显示各点位辐射剂量率、设备在线状态、更新时间，数据实时刷新。</w:t>
            </w:r>
          </w:p>
          <w:p w14:paraId="7C23B75B">
            <w:pPr>
              <w:pStyle w:val="36"/>
              <w:keepNext w:val="0"/>
              <w:keepLines w:val="0"/>
              <w:numPr>
                <w:ilvl w:val="0"/>
                <w:numId w:val="2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多点位管理：支持点位添加、删除、分组、备注命名，适配多区域组网管理。</w:t>
            </w:r>
          </w:p>
          <w:p w14:paraId="32F72AC7">
            <w:pPr>
              <w:pStyle w:val="36"/>
              <w:keepNext w:val="0"/>
              <w:keepLines w:val="0"/>
              <w:numPr>
                <w:ilvl w:val="0"/>
                <w:numId w:val="2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超限报警：支持自定义多级报警阈值，</w:t>
            </w:r>
            <w:r>
              <w:rPr>
                <w:rFonts w:hint="eastAsia" w:ascii="宋体" w:hAnsi="宋体" w:eastAsia="宋体" w:cs="宋体"/>
                <w:sz w:val="21"/>
                <w:szCs w:val="21"/>
                <w:lang w:val="en-US" w:eastAsia="zh-CN"/>
              </w:rPr>
              <w:t>记录</w:t>
            </w:r>
            <w:r>
              <w:rPr>
                <w:rFonts w:hint="eastAsia" w:ascii="宋体" w:hAnsi="宋体" w:eastAsia="宋体" w:cs="宋体"/>
                <w:sz w:val="21"/>
                <w:szCs w:val="21"/>
              </w:rPr>
              <w:t>超标、离线、断网</w:t>
            </w:r>
            <w:r>
              <w:rPr>
                <w:rFonts w:hint="eastAsia" w:ascii="宋体" w:hAnsi="宋体" w:eastAsia="宋体" w:cs="宋体"/>
                <w:sz w:val="21"/>
                <w:szCs w:val="21"/>
                <w:lang w:val="en-US" w:eastAsia="zh-CN"/>
              </w:rPr>
              <w:t>信息</w:t>
            </w:r>
            <w:r>
              <w:rPr>
                <w:rFonts w:hint="eastAsia" w:ascii="宋体" w:hAnsi="宋体" w:eastAsia="宋体" w:cs="宋体"/>
                <w:sz w:val="21"/>
                <w:szCs w:val="21"/>
              </w:rPr>
              <w:t>。</w:t>
            </w:r>
          </w:p>
          <w:p w14:paraId="2BF8BE16">
            <w:pPr>
              <w:pStyle w:val="36"/>
              <w:keepNext w:val="0"/>
              <w:keepLines w:val="0"/>
              <w:numPr>
                <w:ilvl w:val="0"/>
                <w:numId w:val="2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设备运维监控：实时查看设备信号强度、供电状态、在线时长，故障自动提示。</w:t>
            </w:r>
          </w:p>
          <w:p w14:paraId="27A850F6">
            <w:pPr>
              <w:pStyle w:val="36"/>
              <w:keepNext w:val="0"/>
              <w:keepLines w:val="0"/>
              <w:numPr>
                <w:ilvl w:val="0"/>
                <w:numId w:val="2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分级权限管理：支持管理员、运维员多级账号权限分配。</w:t>
            </w:r>
          </w:p>
          <w:p w14:paraId="685385A5">
            <w:pPr>
              <w:pStyle w:val="36"/>
              <w:keepNext w:val="0"/>
              <w:keepLines w:val="0"/>
              <w:numPr>
                <w:ilvl w:val="0"/>
                <w:numId w:val="2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离线缓存续传：网络异常自动缓存数据，网络恢复自动同步，保障数据完整。</w:t>
            </w:r>
          </w:p>
          <w:p w14:paraId="7FAD8A06">
            <w:pPr>
              <w:pStyle w:val="36"/>
              <w:keepNext w:val="0"/>
              <w:keepLines w:val="0"/>
              <w:numPr>
                <w:ilvl w:val="0"/>
                <w:numId w:val="23"/>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系统扩容：支持多种类多点位扩容，新增其他设备（如通风控制、照明控制、烟雾检测等设备）可无缝接入系统。</w:t>
            </w:r>
          </w:p>
          <w:p w14:paraId="5B4B70BE">
            <w:pPr>
              <w:pStyle w:val="36"/>
              <w:keepNext w:val="0"/>
              <w:keepLines w:val="0"/>
              <w:numPr>
                <w:ilvl w:val="0"/>
                <w:numId w:val="18"/>
              </w:numPr>
              <w:suppressLineNumbers w:val="0"/>
              <w:spacing w:before="0" w:beforeAutospacing="0" w:after="0" w:afterAutospacing="0"/>
              <w:ind w:right="0" w:firstLineChars="0"/>
              <w:rPr>
                <w:rFonts w:hint="eastAsia" w:ascii="宋体" w:hAnsi="宋体" w:eastAsia="宋体" w:cs="宋体"/>
                <w:b/>
                <w:bCs/>
                <w:sz w:val="21"/>
                <w:szCs w:val="21"/>
              </w:rPr>
            </w:pPr>
            <w:r>
              <w:rPr>
                <w:rFonts w:hint="eastAsia" w:ascii="宋体" w:hAnsi="宋体" w:eastAsia="宋体" w:cs="宋体"/>
                <w:b/>
                <w:bCs/>
                <w:sz w:val="21"/>
                <w:szCs w:val="21"/>
              </w:rPr>
              <w:t>设备配置清单：</w:t>
            </w:r>
          </w:p>
          <w:p w14:paraId="6715EA9A">
            <w:pPr>
              <w:pStyle w:val="36"/>
              <w:keepNext w:val="0"/>
              <w:keepLines w:val="0"/>
              <w:numPr>
                <w:ilvl w:val="0"/>
                <w:numId w:val="24"/>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辐射监测探头：4套（统一型号，适配实验室各类辐射监测工况）。</w:t>
            </w:r>
          </w:p>
          <w:p w14:paraId="49B8C250">
            <w:pPr>
              <w:pStyle w:val="36"/>
              <w:keepNext w:val="0"/>
              <w:keepLines w:val="0"/>
              <w:numPr>
                <w:ilvl w:val="0"/>
                <w:numId w:val="24"/>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工业级4G DTU传输模块：4套（每台探头独立配套）。</w:t>
            </w:r>
          </w:p>
          <w:p w14:paraId="4A985AB2">
            <w:pPr>
              <w:pStyle w:val="36"/>
              <w:keepNext w:val="0"/>
              <w:keepLines w:val="0"/>
              <w:numPr>
                <w:ilvl w:val="0"/>
                <w:numId w:val="24"/>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自研监测软件系统（APP+云端后台）：1套（全局统一管控）。</w:t>
            </w:r>
          </w:p>
        </w:tc>
      </w:tr>
      <w:tr w14:paraId="0B94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28E95D9E">
            <w:pPr>
              <w:keepNext w:val="0"/>
              <w:keepLines w:val="0"/>
              <w:numPr>
                <w:ilvl w:val="0"/>
                <w:numId w:val="0"/>
              </w:numPr>
              <w:suppressLineNumbers w:val="0"/>
              <w:spacing w:before="0" w:beforeAutospacing="0" w:after="0" w:afterAutospacing="0"/>
              <w:ind w:left="0" w:right="0" w:firstLine="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1134" w:type="dxa"/>
            <w:vAlign w:val="center"/>
          </w:tcPr>
          <w:p w14:paraId="36E9930B">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实验室预约与设备管理系统</w:t>
            </w:r>
          </w:p>
        </w:tc>
        <w:tc>
          <w:tcPr>
            <w:tcW w:w="709" w:type="dxa"/>
            <w:vAlign w:val="center"/>
          </w:tcPr>
          <w:p w14:paraId="52AB8E6C">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1</w:t>
            </w:r>
          </w:p>
        </w:tc>
        <w:tc>
          <w:tcPr>
            <w:tcW w:w="708" w:type="dxa"/>
            <w:vAlign w:val="center"/>
          </w:tcPr>
          <w:p w14:paraId="036E3863">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套</w:t>
            </w:r>
          </w:p>
        </w:tc>
        <w:tc>
          <w:tcPr>
            <w:tcW w:w="5877" w:type="dxa"/>
          </w:tcPr>
          <w:p w14:paraId="475286CE">
            <w:pPr>
              <w:pStyle w:val="36"/>
              <w:keepNext w:val="0"/>
              <w:keepLines w:val="0"/>
              <w:numPr>
                <w:ilvl w:val="0"/>
                <w:numId w:val="25"/>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Cs/>
                <w:sz w:val="21"/>
                <w:szCs w:val="21"/>
              </w:rPr>
              <w:t>★</w:t>
            </w:r>
            <w:r>
              <w:rPr>
                <w:rFonts w:hint="eastAsia" w:ascii="宋体" w:hAnsi="宋体" w:eastAsia="宋体" w:cs="宋体"/>
                <w:b/>
                <w:bCs/>
                <w:sz w:val="21"/>
                <w:szCs w:val="21"/>
              </w:rPr>
              <w:t>实验室使用预约系统1套:（含1年的使用费，后续</w:t>
            </w:r>
            <w:r>
              <w:rPr>
                <w:rFonts w:hint="eastAsia" w:ascii="宋体" w:hAnsi="宋体" w:eastAsia="宋体" w:cs="宋体"/>
                <w:b/>
                <w:bCs/>
                <w:sz w:val="21"/>
                <w:szCs w:val="21"/>
                <w:lang w:val="en-US" w:eastAsia="zh-CN"/>
              </w:rPr>
              <w:t>软件使用</w:t>
            </w:r>
            <w:r>
              <w:rPr>
                <w:rFonts w:hint="eastAsia" w:ascii="宋体" w:hAnsi="宋体" w:eastAsia="宋体" w:cs="宋体"/>
                <w:b/>
                <w:bCs/>
                <w:sz w:val="21"/>
                <w:szCs w:val="21"/>
              </w:rPr>
              <w:t>费用</w:t>
            </w:r>
            <w:r>
              <w:rPr>
                <w:rFonts w:hint="eastAsia" w:ascii="宋体" w:hAnsi="宋体" w:eastAsia="宋体" w:cs="宋体"/>
                <w:b/>
                <w:bCs/>
                <w:sz w:val="21"/>
                <w:szCs w:val="21"/>
                <w:lang w:val="en-US" w:eastAsia="zh-CN"/>
              </w:rPr>
              <w:t>按年</w:t>
            </w:r>
            <w:r>
              <w:rPr>
                <w:rFonts w:hint="eastAsia" w:ascii="宋体" w:hAnsi="宋体" w:eastAsia="宋体" w:cs="宋体"/>
                <w:b/>
                <w:bCs/>
                <w:sz w:val="21"/>
                <w:szCs w:val="21"/>
              </w:rPr>
              <w:t>另行购买）</w:t>
            </w:r>
          </w:p>
          <w:p w14:paraId="46441140">
            <w:pPr>
              <w:pStyle w:val="36"/>
              <w:keepNext w:val="0"/>
              <w:keepLines w:val="0"/>
              <w:numPr>
                <w:ilvl w:val="0"/>
                <w:numId w:val="26"/>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实验室及人员权限管理：</w:t>
            </w:r>
          </w:p>
          <w:p w14:paraId="75E14940">
            <w:pPr>
              <w:pStyle w:val="36"/>
              <w:keepNext w:val="0"/>
              <w:keepLines w:val="0"/>
              <w:numPr>
                <w:ilvl w:val="0"/>
                <w:numId w:val="27"/>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实验室档案管理：可完成各物理实验室</w:t>
            </w:r>
            <w:r>
              <w:rPr>
                <w:rFonts w:hint="eastAsia" w:ascii="宋体" w:hAnsi="宋体" w:eastAsia="宋体" w:cs="宋体"/>
                <w:sz w:val="21"/>
                <w:szCs w:val="21"/>
                <w:lang w:val="en-US" w:eastAsia="zh-CN"/>
              </w:rPr>
              <w:t>使用</w:t>
            </w:r>
            <w:r>
              <w:rPr>
                <w:rFonts w:hint="eastAsia" w:ascii="宋体" w:hAnsi="宋体" w:eastAsia="宋体" w:cs="宋体"/>
                <w:sz w:val="21"/>
                <w:szCs w:val="21"/>
              </w:rPr>
              <w:t>信息录入、修改与档案维护，实现实验室电子化建档。</w:t>
            </w:r>
          </w:p>
          <w:p w14:paraId="56264923">
            <w:pPr>
              <w:pStyle w:val="36"/>
              <w:keepNext w:val="0"/>
              <w:keepLines w:val="0"/>
              <w:numPr>
                <w:ilvl w:val="0"/>
                <w:numId w:val="27"/>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多级人员权限管理：支持超级管理员、各实验室负责人等角色配置，按管理职责分配不同后台操作权限，保障系统安全运行。</w:t>
            </w:r>
          </w:p>
          <w:p w14:paraId="78E2FC94">
            <w:pPr>
              <w:pStyle w:val="36"/>
              <w:keepNext w:val="0"/>
              <w:keepLines w:val="0"/>
              <w:numPr>
                <w:ilvl w:val="0"/>
                <w:numId w:val="26"/>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前端展示内容运维管理：</w:t>
            </w:r>
          </w:p>
          <w:p w14:paraId="79ED81D3">
            <w:pPr>
              <w:pStyle w:val="36"/>
              <w:keepNext w:val="0"/>
              <w:keepLines w:val="0"/>
              <w:numPr>
                <w:ilvl w:val="0"/>
                <w:numId w:val="2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预约须知公示：后台可编辑发布实验室整体预约须知及首页预约规则，明确实验室使用要求与约束条款。</w:t>
            </w:r>
          </w:p>
          <w:p w14:paraId="26BACFF5">
            <w:pPr>
              <w:pStyle w:val="36"/>
              <w:keepNext w:val="0"/>
              <w:keepLines w:val="0"/>
              <w:numPr>
                <w:ilvl w:val="0"/>
                <w:numId w:val="2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公告通知发布：具备首页公告发布功能，可及时推送实验室开放时间调整、设备检修维护、场地临时停用等通知信息。</w:t>
            </w:r>
          </w:p>
          <w:p w14:paraId="7B9CEB70">
            <w:pPr>
              <w:pStyle w:val="36"/>
              <w:keepNext w:val="0"/>
              <w:keepLines w:val="0"/>
              <w:numPr>
                <w:ilvl w:val="0"/>
                <w:numId w:val="2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教学资料上传下载：支持上传实验</w:t>
            </w:r>
            <w:r>
              <w:rPr>
                <w:rFonts w:hint="eastAsia" w:ascii="宋体" w:hAnsi="宋体" w:eastAsia="宋体" w:cs="宋体"/>
                <w:sz w:val="21"/>
                <w:szCs w:val="21"/>
                <w:lang w:val="en-US" w:eastAsia="zh-CN"/>
              </w:rPr>
              <w:t>室使用</w:t>
            </w:r>
            <w:r>
              <w:rPr>
                <w:rFonts w:hint="eastAsia" w:ascii="宋体" w:hAnsi="宋体" w:eastAsia="宋体" w:cs="宋体"/>
                <w:sz w:val="21"/>
                <w:szCs w:val="21"/>
              </w:rPr>
              <w:t>规范、预约申请表格等电子文件，在首页设置下载专区供师生自主获取。</w:t>
            </w:r>
          </w:p>
          <w:p w14:paraId="327C9542">
            <w:pPr>
              <w:pStyle w:val="36"/>
              <w:keepNext w:val="0"/>
              <w:keepLines w:val="0"/>
              <w:numPr>
                <w:ilvl w:val="0"/>
                <w:numId w:val="26"/>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预约业务全流程管控：</w:t>
            </w:r>
          </w:p>
          <w:p w14:paraId="22C8DFA3">
            <w:pPr>
              <w:pStyle w:val="36"/>
              <w:keepNext w:val="0"/>
              <w:keepLines w:val="0"/>
              <w:numPr>
                <w:ilvl w:val="0"/>
                <w:numId w:val="29"/>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预约记录台账留存：系统自动归档所有师生提交的实验室使用预约申请单，可随时查询、导出、追溯历史预约数据。</w:t>
            </w:r>
          </w:p>
          <w:p w14:paraId="06DEA020">
            <w:pPr>
              <w:pStyle w:val="36"/>
              <w:keepNext w:val="0"/>
              <w:keepLines w:val="0"/>
              <w:numPr>
                <w:ilvl w:val="0"/>
                <w:numId w:val="29"/>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线上预约审批闭环：管理人员可在后台对预约申请进行审核，执行通过或驳回操作，完成实验室使用资格线上审批，全程操作留痕可查。</w:t>
            </w:r>
          </w:p>
          <w:p w14:paraId="557E5245">
            <w:pPr>
              <w:pStyle w:val="36"/>
              <w:keepNext w:val="0"/>
              <w:keepLines w:val="0"/>
              <w:numPr>
                <w:ilvl w:val="0"/>
                <w:numId w:val="25"/>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Cs/>
                <w:sz w:val="21"/>
                <w:szCs w:val="21"/>
              </w:rPr>
              <w:t>★</w:t>
            </w:r>
            <w:r>
              <w:rPr>
                <w:rFonts w:hint="eastAsia" w:ascii="宋体" w:hAnsi="宋体" w:eastAsia="宋体" w:cs="宋体"/>
                <w:b/>
                <w:bCs/>
                <w:sz w:val="21"/>
                <w:szCs w:val="21"/>
              </w:rPr>
              <w:t>实验室设备管理系统1套:（含1年的使用费，后续</w:t>
            </w:r>
            <w:r>
              <w:rPr>
                <w:rFonts w:hint="eastAsia" w:ascii="宋体" w:hAnsi="宋体" w:eastAsia="宋体" w:cs="宋体"/>
                <w:b/>
                <w:bCs/>
                <w:sz w:val="21"/>
                <w:szCs w:val="21"/>
                <w:lang w:val="en-US" w:eastAsia="zh-CN"/>
              </w:rPr>
              <w:t>软件使用</w:t>
            </w:r>
            <w:r>
              <w:rPr>
                <w:rFonts w:hint="eastAsia" w:ascii="宋体" w:hAnsi="宋体" w:eastAsia="宋体" w:cs="宋体"/>
                <w:b/>
                <w:bCs/>
                <w:sz w:val="21"/>
                <w:szCs w:val="21"/>
              </w:rPr>
              <w:t>费用</w:t>
            </w:r>
            <w:r>
              <w:rPr>
                <w:rFonts w:hint="eastAsia" w:ascii="宋体" w:hAnsi="宋体" w:eastAsia="宋体" w:cs="宋体"/>
                <w:b/>
                <w:bCs/>
                <w:sz w:val="21"/>
                <w:szCs w:val="21"/>
                <w:lang w:val="en-US" w:eastAsia="zh-CN"/>
              </w:rPr>
              <w:t>按年</w:t>
            </w:r>
            <w:r>
              <w:rPr>
                <w:rFonts w:hint="eastAsia" w:ascii="宋体" w:hAnsi="宋体" w:eastAsia="宋体" w:cs="宋体"/>
                <w:b/>
                <w:bCs/>
                <w:sz w:val="21"/>
                <w:szCs w:val="21"/>
              </w:rPr>
              <w:t>另行购买）</w:t>
            </w:r>
          </w:p>
          <w:p w14:paraId="5A5F9DBD">
            <w:pPr>
              <w:pStyle w:val="36"/>
              <w:keepNext w:val="0"/>
              <w:keepLines w:val="0"/>
              <w:numPr>
                <w:ilvl w:val="0"/>
                <w:numId w:val="30"/>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实验设备及人员权限管理：</w:t>
            </w:r>
          </w:p>
          <w:p w14:paraId="689C51F9">
            <w:pPr>
              <w:pStyle w:val="36"/>
              <w:keepNext w:val="0"/>
              <w:keepLines w:val="0"/>
              <w:numPr>
                <w:ilvl w:val="0"/>
                <w:numId w:val="31"/>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实验室设备管理：可完成特定</w:t>
            </w:r>
            <w:r>
              <w:rPr>
                <w:rFonts w:hint="eastAsia" w:ascii="宋体" w:hAnsi="宋体" w:eastAsia="宋体" w:cs="宋体"/>
                <w:sz w:val="21"/>
                <w:szCs w:val="21"/>
                <w:lang w:val="en-US" w:eastAsia="zh-CN"/>
              </w:rPr>
              <w:t>可控</w:t>
            </w:r>
            <w:r>
              <w:rPr>
                <w:rFonts w:hint="eastAsia" w:ascii="宋体" w:hAnsi="宋体" w:eastAsia="宋体" w:cs="宋体"/>
                <w:sz w:val="21"/>
                <w:szCs w:val="21"/>
              </w:rPr>
              <w:t>物理实验室设备基础信息录入、修改与档案维护。</w:t>
            </w:r>
          </w:p>
          <w:p w14:paraId="4F994987">
            <w:pPr>
              <w:pStyle w:val="36"/>
              <w:keepNext w:val="0"/>
              <w:keepLines w:val="0"/>
              <w:numPr>
                <w:ilvl w:val="0"/>
                <w:numId w:val="31"/>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多级人员权限管理：支持超级管理员、各实验室负责人等角色配置，按管理职责分配不同后台操作权限，保障系统安全运行。</w:t>
            </w:r>
          </w:p>
          <w:p w14:paraId="6888B44C">
            <w:pPr>
              <w:pStyle w:val="36"/>
              <w:keepNext w:val="0"/>
              <w:keepLines w:val="0"/>
              <w:numPr>
                <w:ilvl w:val="0"/>
                <w:numId w:val="31"/>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可带数字或者视频流的反馈控制信息。</w:t>
            </w:r>
          </w:p>
          <w:p w14:paraId="69828FAB">
            <w:pPr>
              <w:pStyle w:val="36"/>
              <w:keepNext w:val="0"/>
              <w:keepLines w:val="0"/>
              <w:numPr>
                <w:ilvl w:val="0"/>
                <w:numId w:val="31"/>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设备远程控制终端硬件10台，按需对实际设备</w:t>
            </w:r>
            <w:r>
              <w:rPr>
                <w:rFonts w:hint="eastAsia" w:ascii="宋体" w:hAnsi="宋体" w:eastAsia="宋体" w:cs="宋体"/>
                <w:sz w:val="21"/>
                <w:szCs w:val="21"/>
                <w:lang w:val="en-US" w:eastAsia="zh-CN"/>
              </w:rPr>
              <w:t>电源、电流、开关、动作等</w:t>
            </w:r>
            <w:r>
              <w:rPr>
                <w:rFonts w:hint="eastAsia" w:ascii="宋体" w:hAnsi="宋体" w:eastAsia="宋体" w:cs="宋体"/>
                <w:sz w:val="21"/>
                <w:szCs w:val="21"/>
              </w:rPr>
              <w:t>进行自定义名称及动作修改。</w:t>
            </w:r>
          </w:p>
        </w:tc>
      </w:tr>
      <w:tr w14:paraId="7463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0799A91A">
            <w:pPr>
              <w:keepNext w:val="0"/>
              <w:keepLines w:val="0"/>
              <w:numPr>
                <w:ilvl w:val="0"/>
                <w:numId w:val="0"/>
              </w:numPr>
              <w:suppressLineNumbers w:val="0"/>
              <w:spacing w:before="0" w:beforeAutospacing="0" w:after="0" w:afterAutospacing="0"/>
              <w:ind w:left="0" w:right="0" w:firstLine="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5</w:t>
            </w:r>
          </w:p>
        </w:tc>
        <w:tc>
          <w:tcPr>
            <w:tcW w:w="1134" w:type="dxa"/>
            <w:vAlign w:val="center"/>
          </w:tcPr>
          <w:p w14:paraId="7BB890B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光纤无源传感分析系统</w:t>
            </w:r>
          </w:p>
        </w:tc>
        <w:tc>
          <w:tcPr>
            <w:tcW w:w="709" w:type="dxa"/>
            <w:vAlign w:val="center"/>
          </w:tcPr>
          <w:p w14:paraId="7A25CAF6">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1</w:t>
            </w:r>
          </w:p>
        </w:tc>
        <w:tc>
          <w:tcPr>
            <w:tcW w:w="708" w:type="dxa"/>
            <w:vAlign w:val="center"/>
          </w:tcPr>
          <w:p w14:paraId="4E26E580">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套</w:t>
            </w:r>
          </w:p>
        </w:tc>
        <w:tc>
          <w:tcPr>
            <w:tcW w:w="5877" w:type="dxa"/>
            <w:vAlign w:val="center"/>
          </w:tcPr>
          <w:p w14:paraId="775885AD">
            <w:pPr>
              <w:pStyle w:val="36"/>
              <w:keepNext w:val="0"/>
              <w:keepLines w:val="0"/>
              <w:numPr>
                <w:ilvl w:val="0"/>
                <w:numId w:val="32"/>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光学指标：</w:t>
            </w:r>
          </w:p>
          <w:p w14:paraId="0FF8A820">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eastAsia="宋体" w:cs="宋体"/>
                <w:sz w:val="21"/>
                <w:szCs w:val="21"/>
              </w:rPr>
              <w:t>光学通道数：4；波长范围：1527~1568nm。</w:t>
            </w:r>
            <w:r>
              <w:rPr>
                <w:rFonts w:hint="eastAsia" w:ascii="宋体" w:hAnsi="宋体" w:eastAsia="宋体" w:cs="宋体"/>
                <w:b/>
                <w:bCs/>
                <w:sz w:val="21"/>
                <w:szCs w:val="21"/>
              </w:rPr>
              <w:t>（投标时提供满足要求的相关证明材料，有效证明材料：可以是投标产品生产厂家编制的产品彩页或说明书或官网截图或由国家认可的第三方检测机构出具的检测报告复印件或扫描件等）</w:t>
            </w:r>
          </w:p>
          <w:p w14:paraId="0B149232">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输出光功率：&gt;0dBm。</w:t>
            </w:r>
          </w:p>
          <w:p w14:paraId="378BC4F7">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波长分辨率：0.1pm。</w:t>
            </w:r>
          </w:p>
          <w:p w14:paraId="0B389F7A">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稳定性：1pm。</w:t>
            </w:r>
          </w:p>
          <w:p w14:paraId="325CBBE8">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重复性：0.2pm。</w:t>
            </w:r>
          </w:p>
          <w:p w14:paraId="02B744E2">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动态范围：60dB(典型值)。</w:t>
            </w:r>
          </w:p>
          <w:p w14:paraId="48E84DE0">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eastAsia="宋体" w:cs="宋体"/>
                <w:sz w:val="21"/>
                <w:szCs w:val="21"/>
              </w:rPr>
              <w:t>典型光栅要求：切趾，反射率﹥70%，带宽﹤0.25nm。</w:t>
            </w:r>
            <w:r>
              <w:rPr>
                <w:rFonts w:hint="eastAsia" w:ascii="宋体" w:hAnsi="宋体" w:eastAsia="宋体" w:cs="宋体"/>
                <w:b/>
                <w:bCs/>
                <w:sz w:val="21"/>
                <w:szCs w:val="21"/>
              </w:rPr>
              <w:t>（投标时提供满足要求的相关证明材料，有效证明材料：可以是投标产品生产厂家编制的产品彩页或说明书或官网截图或由国家认可的第三方检测机构出具的检测报告复印件或扫描件等）</w:t>
            </w:r>
          </w:p>
          <w:p w14:paraId="2D6BB112">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扫描频率：1Hz（全波段），20Hz（单个传感器）。</w:t>
            </w:r>
          </w:p>
          <w:p w14:paraId="1D3B37D8">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最高采样速率：873KHZ。</w:t>
            </w:r>
          </w:p>
          <w:p w14:paraId="3F7645DC">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光学接头：FC/APC。</w:t>
            </w:r>
          </w:p>
          <w:p w14:paraId="5408C047">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光谱功能：全光谱。</w:t>
            </w:r>
          </w:p>
          <w:p w14:paraId="2491A406">
            <w:pPr>
              <w:pStyle w:val="36"/>
              <w:keepNext w:val="0"/>
              <w:keepLines w:val="0"/>
              <w:numPr>
                <w:ilvl w:val="0"/>
                <w:numId w:val="3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测试距离：60KM。</w:t>
            </w:r>
          </w:p>
          <w:p w14:paraId="7D5DEEB5">
            <w:pPr>
              <w:pStyle w:val="36"/>
              <w:keepNext w:val="0"/>
              <w:keepLines w:val="0"/>
              <w:numPr>
                <w:ilvl w:val="0"/>
                <w:numId w:val="32"/>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电气指标：</w:t>
            </w:r>
          </w:p>
          <w:p w14:paraId="6E498B38">
            <w:pPr>
              <w:pStyle w:val="36"/>
              <w:keepNext w:val="0"/>
              <w:keepLines w:val="0"/>
              <w:numPr>
                <w:ilvl w:val="0"/>
                <w:numId w:val="3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电源供应：+7~36VDC（可外接蓄电池）。</w:t>
            </w:r>
          </w:p>
          <w:p w14:paraId="5078A5BE">
            <w:pPr>
              <w:pStyle w:val="36"/>
              <w:keepNext w:val="0"/>
              <w:keepLines w:val="0"/>
              <w:numPr>
                <w:ilvl w:val="0"/>
                <w:numId w:val="3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功耗：&lt;20W（典型值&lt;5W）。</w:t>
            </w:r>
          </w:p>
          <w:p w14:paraId="0044C1D4">
            <w:pPr>
              <w:pStyle w:val="36"/>
              <w:keepNext w:val="0"/>
              <w:keepLines w:val="0"/>
              <w:numPr>
                <w:ilvl w:val="0"/>
                <w:numId w:val="3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外部数据传输接口：以太网TELNET/，RS232，RS485。</w:t>
            </w:r>
          </w:p>
          <w:p w14:paraId="05A40681">
            <w:pPr>
              <w:pStyle w:val="36"/>
              <w:keepNext w:val="0"/>
              <w:keepLines w:val="0"/>
              <w:numPr>
                <w:ilvl w:val="0"/>
                <w:numId w:val="3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人机接口：显示：HDMI/VGA，键盘鼠标：USB。</w:t>
            </w:r>
          </w:p>
          <w:p w14:paraId="41605EDF">
            <w:pPr>
              <w:pStyle w:val="36"/>
              <w:keepNext w:val="0"/>
              <w:keepLines w:val="0"/>
              <w:numPr>
                <w:ilvl w:val="0"/>
                <w:numId w:val="3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操作系统：WINCE 6.0。</w:t>
            </w:r>
          </w:p>
          <w:p w14:paraId="4791D81E">
            <w:pPr>
              <w:pStyle w:val="36"/>
              <w:keepNext w:val="0"/>
              <w:keepLines w:val="0"/>
              <w:numPr>
                <w:ilvl w:val="0"/>
                <w:numId w:val="3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处理器：S5PV210 1GHzARM CortexTM-A8。</w:t>
            </w:r>
          </w:p>
          <w:p w14:paraId="4FCEEED0">
            <w:pPr>
              <w:pStyle w:val="36"/>
              <w:keepNext w:val="0"/>
              <w:keepLines w:val="0"/>
              <w:numPr>
                <w:ilvl w:val="0"/>
                <w:numId w:val="3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图像加速：2D/3D GPU。</w:t>
            </w:r>
          </w:p>
          <w:p w14:paraId="6658FFCE">
            <w:pPr>
              <w:pStyle w:val="36"/>
              <w:keepNext w:val="0"/>
              <w:keepLines w:val="0"/>
              <w:numPr>
                <w:ilvl w:val="0"/>
                <w:numId w:val="3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存储：DDR2内存156M,存储（eMMC FLASH）：4G(可扩展)。</w:t>
            </w:r>
          </w:p>
          <w:p w14:paraId="206D765C">
            <w:pPr>
              <w:pStyle w:val="36"/>
              <w:keepNext w:val="0"/>
              <w:keepLines w:val="0"/>
              <w:numPr>
                <w:ilvl w:val="0"/>
                <w:numId w:val="32"/>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其他指标：</w:t>
            </w:r>
          </w:p>
          <w:p w14:paraId="65819E35">
            <w:pPr>
              <w:pStyle w:val="36"/>
              <w:keepNext w:val="0"/>
              <w:keepLines w:val="0"/>
              <w:numPr>
                <w:ilvl w:val="0"/>
                <w:numId w:val="3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外型尺寸：117×234×135mm（±1mm）。</w:t>
            </w:r>
          </w:p>
          <w:p w14:paraId="27B4A2BE">
            <w:pPr>
              <w:pStyle w:val="36"/>
              <w:keepNext w:val="0"/>
              <w:keepLines w:val="0"/>
              <w:numPr>
                <w:ilvl w:val="0"/>
                <w:numId w:val="3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工作温度：-10~55℃。</w:t>
            </w:r>
          </w:p>
          <w:p w14:paraId="38CEEA67">
            <w:pPr>
              <w:pStyle w:val="36"/>
              <w:keepNext w:val="0"/>
              <w:keepLines w:val="0"/>
              <w:numPr>
                <w:ilvl w:val="0"/>
                <w:numId w:val="3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存储温度：-20~80℃。</w:t>
            </w:r>
          </w:p>
          <w:p w14:paraId="20995A76">
            <w:pPr>
              <w:pStyle w:val="36"/>
              <w:keepNext w:val="0"/>
              <w:keepLines w:val="0"/>
              <w:numPr>
                <w:ilvl w:val="0"/>
                <w:numId w:val="3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eastAsia="宋体" w:cs="宋体"/>
                <w:sz w:val="21"/>
                <w:szCs w:val="21"/>
              </w:rPr>
              <w:t>支持拓展内置内置锂电池供电；支持使用拓展模块拓展更多通道；支持拓展温度，应变，压力，加速度等传感器。</w:t>
            </w:r>
            <w:r>
              <w:rPr>
                <w:rFonts w:hint="eastAsia" w:ascii="宋体" w:hAnsi="宋体" w:eastAsia="宋体" w:cs="宋体"/>
                <w:b/>
                <w:bCs/>
                <w:sz w:val="21"/>
                <w:szCs w:val="21"/>
              </w:rPr>
              <w:t>（投标时提供满足要求的相关证明材料，有效证明材料：可以是投标产品生产厂家编制的产品彩页或说明书或官网截图或由国家认可的第三方检测机构出具的检测报告复印件或扫描件等）</w:t>
            </w:r>
          </w:p>
          <w:p w14:paraId="3F135B59">
            <w:pPr>
              <w:pStyle w:val="36"/>
              <w:keepNext w:val="0"/>
              <w:keepLines w:val="0"/>
              <w:numPr>
                <w:ilvl w:val="0"/>
                <w:numId w:val="32"/>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eastAsia="宋体" w:cs="宋体"/>
                <w:b/>
                <w:bCs/>
                <w:sz w:val="21"/>
                <w:szCs w:val="21"/>
              </w:rPr>
              <w:t>售后服务≥1年，为保证售后服务质量，中标人于供货时必须提供所投产品生产厂家针对本项目出具的授权书及售后服务承诺书原件，否则不给予收货验收。</w:t>
            </w:r>
          </w:p>
        </w:tc>
      </w:tr>
      <w:tr w14:paraId="3C7EF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72F56C98">
            <w:pPr>
              <w:keepNext w:val="0"/>
              <w:keepLines w:val="0"/>
              <w:numPr>
                <w:ilvl w:val="0"/>
                <w:numId w:val="0"/>
              </w:numPr>
              <w:suppressLineNumbers w:val="0"/>
              <w:spacing w:before="0" w:beforeAutospacing="0" w:after="0" w:afterAutospacing="0"/>
              <w:ind w:left="0" w:right="0" w:firstLine="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6</w:t>
            </w:r>
          </w:p>
        </w:tc>
        <w:tc>
          <w:tcPr>
            <w:tcW w:w="1134" w:type="dxa"/>
            <w:vAlign w:val="center"/>
          </w:tcPr>
          <w:p w14:paraId="3716CE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光纤光栅解调仪</w:t>
            </w:r>
          </w:p>
        </w:tc>
        <w:tc>
          <w:tcPr>
            <w:tcW w:w="709" w:type="dxa"/>
            <w:vAlign w:val="center"/>
          </w:tcPr>
          <w:p w14:paraId="1789DFA3">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3</w:t>
            </w:r>
          </w:p>
        </w:tc>
        <w:tc>
          <w:tcPr>
            <w:tcW w:w="708" w:type="dxa"/>
            <w:vAlign w:val="center"/>
          </w:tcPr>
          <w:p w14:paraId="374EA422">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台</w:t>
            </w:r>
          </w:p>
        </w:tc>
        <w:tc>
          <w:tcPr>
            <w:tcW w:w="5877" w:type="dxa"/>
            <w:vAlign w:val="center"/>
          </w:tcPr>
          <w:p w14:paraId="03B55540">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波长可调范围：40nm。</w:t>
            </w:r>
          </w:p>
          <w:p w14:paraId="1DFC63FE">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eastAsia="宋体" w:cs="宋体"/>
                <w:sz w:val="21"/>
                <w:szCs w:val="21"/>
              </w:rPr>
              <w:t>最小波长值：≤1528nm；最大波长值：≥1568nm。</w:t>
            </w:r>
            <w:r>
              <w:rPr>
                <w:rFonts w:hint="eastAsia" w:ascii="宋体" w:hAnsi="宋体" w:eastAsia="宋体" w:cs="宋体"/>
                <w:b/>
                <w:bCs/>
                <w:sz w:val="21"/>
                <w:szCs w:val="21"/>
              </w:rPr>
              <w:t>（投标时提供满足要求的相关证明材料，有效证明材料：可以是投标产品生产厂家编制的产品彩页或说明书或官网截图或由国家认可的第三方检测机构出具的检测报告复印件或扫描件等）</w:t>
            </w:r>
          </w:p>
          <w:p w14:paraId="323C31DB">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输出功率：≥10dBm。</w:t>
            </w:r>
          </w:p>
          <w:p w14:paraId="61983787">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波长分辨率：1.0pm。</w:t>
            </w:r>
          </w:p>
          <w:p w14:paraId="2666DA76">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eastAsia="宋体" w:cs="宋体"/>
                <w:sz w:val="21"/>
                <w:szCs w:val="21"/>
              </w:rPr>
              <w:t>绝对波长精度：+/-10pm，典型值：&lt;5pm；相对波长精度：+/-5pm，典型值：+/-2pm。</w:t>
            </w:r>
            <w:r>
              <w:rPr>
                <w:rFonts w:hint="eastAsia" w:ascii="宋体" w:hAnsi="宋体" w:eastAsia="宋体" w:cs="宋体"/>
                <w:b/>
                <w:bCs/>
                <w:sz w:val="21"/>
                <w:szCs w:val="21"/>
              </w:rPr>
              <w:t>（投标时提供满足要求的相关证明材料，有效证明材料：可以是投标产品生产厂家编制的产品彩页或说明书或官网截图或由国家认可的第三方检测机构出具的检测报告复印件或扫描件等）</w:t>
            </w:r>
          </w:p>
          <w:p w14:paraId="7D4906AA">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波长重复性：+/-2pm，典型：+/-1pm。</w:t>
            </w:r>
          </w:p>
          <w:p w14:paraId="11FB5D90">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调谐速度：典型值：&lt;=25us。</w:t>
            </w:r>
          </w:p>
          <w:p w14:paraId="075BF899">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扫描速度：≤40nm/秒(步长1pm)。</w:t>
            </w:r>
          </w:p>
          <w:p w14:paraId="725FA8EE">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功率重复性：+/-0.5dB。</w:t>
            </w:r>
          </w:p>
          <w:p w14:paraId="7F5D057F">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功率线性度：+/-0.5dB。</w:t>
            </w:r>
          </w:p>
          <w:p w14:paraId="48247244">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边模抑制比：≥45dB。</w:t>
            </w:r>
          </w:p>
          <w:p w14:paraId="6FDDD80E">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相对噪声强度：&lt;-135dB。</w:t>
            </w:r>
          </w:p>
          <w:p w14:paraId="51408816">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光输出接口：PM，FC/PC连接器。</w:t>
            </w:r>
          </w:p>
          <w:p w14:paraId="6A1B29D7">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通讯接口：RS232。</w:t>
            </w:r>
          </w:p>
          <w:p w14:paraId="1FF66E7D">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触发输出端口：可插拔端子触发。</w:t>
            </w:r>
          </w:p>
          <w:p w14:paraId="330CCE60">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电源功率：12V；2A。</w:t>
            </w:r>
          </w:p>
          <w:p w14:paraId="2AAD4D9C">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启动电流：≤1A。</w:t>
            </w:r>
          </w:p>
          <w:p w14:paraId="71B78912">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工作电流：≤300mA。</w:t>
            </w:r>
          </w:p>
          <w:p w14:paraId="1A30657E">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常温工作电流：≤200mA。</w:t>
            </w:r>
          </w:p>
          <w:p w14:paraId="0DCB2AB7">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冷启动时间：≤10秒。</w:t>
            </w:r>
          </w:p>
          <w:p w14:paraId="41CB88AF">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热启动时间：≤3秒。</w:t>
            </w:r>
          </w:p>
          <w:p w14:paraId="784D03B7">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外形尺寸：217mm×103mm×50mm（±1mm）。</w:t>
            </w:r>
          </w:p>
          <w:p w14:paraId="02DA85C3">
            <w:pPr>
              <w:pStyle w:val="36"/>
              <w:keepNext w:val="0"/>
              <w:keepLines w:val="0"/>
              <w:numPr>
                <w:ilvl w:val="0"/>
                <w:numId w:val="3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eastAsia="宋体" w:cs="宋体"/>
                <w:sz w:val="21"/>
                <w:szCs w:val="21"/>
              </w:rPr>
              <w:t>售后服务≥1年，为保证售后服务质量，中标人于供货时必须提供所投产品生产厂家针对本项目出具的授权书及售后服务承诺书原件，否则不给予收货验收。</w:t>
            </w:r>
          </w:p>
        </w:tc>
      </w:tr>
      <w:tr w14:paraId="2123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55DEAA9B">
            <w:pPr>
              <w:keepNext w:val="0"/>
              <w:keepLines w:val="0"/>
              <w:numPr>
                <w:ilvl w:val="0"/>
                <w:numId w:val="0"/>
              </w:numPr>
              <w:suppressLineNumbers w:val="0"/>
              <w:spacing w:before="0" w:beforeAutospacing="0" w:after="0" w:afterAutospacing="0"/>
              <w:ind w:left="0" w:right="0" w:firstLine="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7</w:t>
            </w:r>
          </w:p>
        </w:tc>
        <w:tc>
          <w:tcPr>
            <w:tcW w:w="1134" w:type="dxa"/>
            <w:vAlign w:val="center"/>
          </w:tcPr>
          <w:p w14:paraId="673F5B5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射频功率放大系统</w:t>
            </w:r>
          </w:p>
        </w:tc>
        <w:tc>
          <w:tcPr>
            <w:tcW w:w="709" w:type="dxa"/>
            <w:vAlign w:val="center"/>
          </w:tcPr>
          <w:p w14:paraId="793330B1">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1</w:t>
            </w:r>
          </w:p>
        </w:tc>
        <w:tc>
          <w:tcPr>
            <w:tcW w:w="708" w:type="dxa"/>
            <w:vAlign w:val="center"/>
          </w:tcPr>
          <w:p w14:paraId="147A5898">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套</w:t>
            </w:r>
          </w:p>
        </w:tc>
        <w:tc>
          <w:tcPr>
            <w:tcW w:w="5877" w:type="dxa"/>
            <w:vAlign w:val="center"/>
          </w:tcPr>
          <w:p w14:paraId="2CE509FE">
            <w:pPr>
              <w:pStyle w:val="36"/>
              <w:keepNext w:val="0"/>
              <w:keepLines w:val="0"/>
              <w:numPr>
                <w:ilvl w:val="0"/>
                <w:numId w:val="37"/>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功率放大器1台：</w:t>
            </w:r>
          </w:p>
          <w:p w14:paraId="7DE3DBE9">
            <w:pPr>
              <w:pStyle w:val="36"/>
              <w:keepNext w:val="0"/>
              <w:keepLines w:val="0"/>
              <w:numPr>
                <w:ilvl w:val="0"/>
                <w:numId w:val="3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频率范围：1.8-54MHz的业余频段。</w:t>
            </w:r>
          </w:p>
          <w:p w14:paraId="6CCE58B8">
            <w:pPr>
              <w:pStyle w:val="36"/>
              <w:keepNext w:val="0"/>
              <w:keepLines w:val="0"/>
              <w:numPr>
                <w:ilvl w:val="0"/>
                <w:numId w:val="3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额定最大功率：1500W。</w:t>
            </w:r>
          </w:p>
          <w:p w14:paraId="34903476">
            <w:pPr>
              <w:pStyle w:val="36"/>
              <w:keepNext w:val="0"/>
              <w:keepLines w:val="0"/>
              <w:numPr>
                <w:ilvl w:val="0"/>
                <w:numId w:val="3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功率器件：晶体管。</w:t>
            </w:r>
          </w:p>
          <w:p w14:paraId="54A0A7DC">
            <w:pPr>
              <w:pStyle w:val="36"/>
              <w:keepNext w:val="0"/>
              <w:keepLines w:val="0"/>
              <w:numPr>
                <w:ilvl w:val="0"/>
                <w:numId w:val="3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自动波段切换：CAT、波段编码。</w:t>
            </w:r>
          </w:p>
          <w:p w14:paraId="4DF6A346">
            <w:pPr>
              <w:pStyle w:val="36"/>
              <w:keepNext w:val="0"/>
              <w:keepLines w:val="0"/>
              <w:numPr>
                <w:ilvl w:val="0"/>
                <w:numId w:val="3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工作电压：220VAC±10%。</w:t>
            </w:r>
          </w:p>
          <w:p w14:paraId="4A29BDA7">
            <w:pPr>
              <w:pStyle w:val="36"/>
              <w:keepNext w:val="0"/>
              <w:keepLines w:val="0"/>
              <w:numPr>
                <w:ilvl w:val="0"/>
                <w:numId w:val="3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外置操作面板：支持。</w:t>
            </w:r>
          </w:p>
          <w:p w14:paraId="5EEE5AE2">
            <w:pPr>
              <w:pStyle w:val="36"/>
              <w:keepNext w:val="0"/>
              <w:keepLines w:val="0"/>
              <w:numPr>
                <w:ilvl w:val="0"/>
                <w:numId w:val="38"/>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远程控制：支持，WEB。</w:t>
            </w:r>
          </w:p>
          <w:p w14:paraId="2ED7A916">
            <w:pPr>
              <w:pStyle w:val="36"/>
              <w:keepNext w:val="0"/>
              <w:keepLines w:val="0"/>
              <w:numPr>
                <w:ilvl w:val="0"/>
                <w:numId w:val="37"/>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天调1台：</w:t>
            </w:r>
          </w:p>
          <w:p w14:paraId="7F5F15B0">
            <w:pPr>
              <w:pStyle w:val="36"/>
              <w:keepNext w:val="0"/>
              <w:keepLines w:val="0"/>
              <w:numPr>
                <w:ilvl w:val="0"/>
                <w:numId w:val="39"/>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频率范围：1.8-54MHz。</w:t>
            </w:r>
          </w:p>
          <w:p w14:paraId="08F2EA2F">
            <w:pPr>
              <w:pStyle w:val="36"/>
              <w:keepNext w:val="0"/>
              <w:keepLines w:val="0"/>
              <w:numPr>
                <w:ilvl w:val="0"/>
                <w:numId w:val="39"/>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支持功率：1700W。</w:t>
            </w:r>
          </w:p>
          <w:p w14:paraId="60374272">
            <w:pPr>
              <w:pStyle w:val="36"/>
              <w:keepNext w:val="0"/>
              <w:keepLines w:val="0"/>
              <w:numPr>
                <w:ilvl w:val="0"/>
                <w:numId w:val="39"/>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匹配范围：SWR 10:1（最大）。</w:t>
            </w:r>
          </w:p>
          <w:p w14:paraId="7F705CB8">
            <w:pPr>
              <w:pStyle w:val="36"/>
              <w:keepNext w:val="0"/>
              <w:keepLines w:val="0"/>
              <w:numPr>
                <w:ilvl w:val="0"/>
                <w:numId w:val="39"/>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调谐方式：全自动调谐、手动调谐。</w:t>
            </w:r>
          </w:p>
          <w:p w14:paraId="5C18B22B">
            <w:pPr>
              <w:pStyle w:val="36"/>
              <w:keepNext w:val="0"/>
              <w:keepLines w:val="0"/>
              <w:numPr>
                <w:ilvl w:val="0"/>
                <w:numId w:val="39"/>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联机方式：射频馈线。</w:t>
            </w:r>
          </w:p>
          <w:p w14:paraId="4CDBB0BD">
            <w:pPr>
              <w:pStyle w:val="36"/>
              <w:keepNext w:val="0"/>
              <w:keepLines w:val="0"/>
              <w:numPr>
                <w:ilvl w:val="0"/>
                <w:numId w:val="39"/>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天线接口：≥3个。</w:t>
            </w:r>
          </w:p>
        </w:tc>
      </w:tr>
      <w:tr w14:paraId="6000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7479596F">
            <w:pPr>
              <w:keepNext w:val="0"/>
              <w:keepLines w:val="0"/>
              <w:numPr>
                <w:ilvl w:val="0"/>
                <w:numId w:val="0"/>
              </w:numPr>
              <w:suppressLineNumbers w:val="0"/>
              <w:spacing w:before="0" w:beforeAutospacing="0" w:after="0" w:afterAutospacing="0"/>
              <w:ind w:left="0" w:right="0" w:firstLine="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8</w:t>
            </w:r>
          </w:p>
        </w:tc>
        <w:tc>
          <w:tcPr>
            <w:tcW w:w="1134" w:type="dxa"/>
            <w:vAlign w:val="center"/>
          </w:tcPr>
          <w:p w14:paraId="64E430D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室外望远镜</w:t>
            </w:r>
          </w:p>
        </w:tc>
        <w:tc>
          <w:tcPr>
            <w:tcW w:w="709" w:type="dxa"/>
            <w:vAlign w:val="center"/>
          </w:tcPr>
          <w:p w14:paraId="7E6D88A2">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2</w:t>
            </w:r>
          </w:p>
        </w:tc>
        <w:tc>
          <w:tcPr>
            <w:tcW w:w="708" w:type="dxa"/>
            <w:vAlign w:val="center"/>
          </w:tcPr>
          <w:p w14:paraId="2CD1FB2F">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台</w:t>
            </w:r>
          </w:p>
        </w:tc>
        <w:tc>
          <w:tcPr>
            <w:tcW w:w="5877" w:type="dxa"/>
            <w:vAlign w:val="center"/>
          </w:tcPr>
          <w:p w14:paraId="528A5484">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放大率：16×。</w:t>
            </w:r>
          </w:p>
          <w:p w14:paraId="5239B414">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出瞳直径：4.4mm。</w:t>
            </w:r>
          </w:p>
          <w:p w14:paraId="70C6EEAF">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出瞳距离：22mm。</w:t>
            </w:r>
          </w:p>
          <w:p w14:paraId="66D88179">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视场：3.2°。</w:t>
            </w:r>
          </w:p>
          <w:p w14:paraId="6C712341">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分辨率：≤2.4″。</w:t>
            </w:r>
          </w:p>
          <w:p w14:paraId="4F05723A">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物镜口径：Φ70mm。</w:t>
            </w:r>
          </w:p>
          <w:p w14:paraId="494EF862">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目距调节范围：63mm。</w:t>
            </w:r>
          </w:p>
          <w:p w14:paraId="1E8CDDDC">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使用环境温度：-10 ℃ ～ +50 ℃。</w:t>
            </w:r>
          </w:p>
          <w:p w14:paraId="16BD6761">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水平旋转角度：无限制自由旋转。</w:t>
            </w:r>
          </w:p>
          <w:p w14:paraId="0E54BAE9">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俯仰角度：±30°。</w:t>
            </w:r>
          </w:p>
          <w:p w14:paraId="0F3C26BE">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外形尺寸(主机)：370mm（长）×200mm（宽）×220mm（高）。</w:t>
            </w:r>
          </w:p>
          <w:p w14:paraId="47D62287">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整机高度：1460mm。</w:t>
            </w:r>
          </w:p>
          <w:p w14:paraId="1837F2B3">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整机重量：30kg。</w:t>
            </w:r>
          </w:p>
          <w:p w14:paraId="66F44965">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充氮防水。</w:t>
            </w:r>
          </w:p>
          <w:p w14:paraId="291415F6">
            <w:pPr>
              <w:pStyle w:val="36"/>
              <w:keepNext w:val="0"/>
              <w:keepLines w:val="0"/>
              <w:numPr>
                <w:ilvl w:val="0"/>
                <w:numId w:val="40"/>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室外耐雨淋，可抵御高压强喷水、持续暴雨，全天候露天淋雨无进水。</w:t>
            </w:r>
          </w:p>
        </w:tc>
      </w:tr>
      <w:tr w14:paraId="7667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6E147257">
            <w:pPr>
              <w:keepNext w:val="0"/>
              <w:keepLines w:val="0"/>
              <w:numPr>
                <w:ilvl w:val="0"/>
                <w:numId w:val="0"/>
              </w:numPr>
              <w:suppressLineNumbers w:val="0"/>
              <w:spacing w:before="0" w:beforeAutospacing="0" w:after="0" w:afterAutospacing="0"/>
              <w:ind w:left="0" w:right="0" w:firstLine="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9</w:t>
            </w:r>
          </w:p>
        </w:tc>
        <w:tc>
          <w:tcPr>
            <w:tcW w:w="1134" w:type="dxa"/>
            <w:vAlign w:val="center"/>
          </w:tcPr>
          <w:p w14:paraId="0596221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数字示波器</w:t>
            </w:r>
          </w:p>
        </w:tc>
        <w:tc>
          <w:tcPr>
            <w:tcW w:w="709" w:type="dxa"/>
            <w:vAlign w:val="center"/>
          </w:tcPr>
          <w:p w14:paraId="143122BB">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80</w:t>
            </w:r>
          </w:p>
        </w:tc>
        <w:tc>
          <w:tcPr>
            <w:tcW w:w="708" w:type="dxa"/>
            <w:vAlign w:val="center"/>
          </w:tcPr>
          <w:p w14:paraId="19B95898">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台</w:t>
            </w:r>
          </w:p>
        </w:tc>
        <w:tc>
          <w:tcPr>
            <w:tcW w:w="5877" w:type="dxa"/>
            <w:vAlign w:val="center"/>
          </w:tcPr>
          <w:p w14:paraId="662DF9DA">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模拟通道带宽≥125MHz；上升时间(典型值)≤2.8ns；4个模拟通道+16个数字通道；最高实时采样率：1.25GSa/s，等效采样率10GSa/s；最大存储深度≥50Mpts；提供凝时获取模式(Ultra Acquire Mode)最高波形捕获率≥1000000wfms/s；硬件实时波形录制和回放≥500000帧；峰值检测捕获最窄1.6ns的毛刺。</w:t>
            </w:r>
          </w:p>
          <w:p w14:paraId="61CB8FC6">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垂直系统输入耦合：直流、交流或接地(DC,AC,GND)；输入阻抗：1MΩ±1%；输入电容：15pF±3pF；最大输入电压：CAT I 300Vrms，400Vpk(DC+Vpeak)；垂直分辨率≥12bit，高分辨率模式16bit；垂直灵敏度范围：200μV/div</w:t>
            </w:r>
            <w:r>
              <w:rPr>
                <w:rFonts w:hint="eastAsia" w:ascii="宋体" w:hAnsi="宋体" w:eastAsia="宋体" w:cs="宋体"/>
                <w:kern w:val="0"/>
                <w:sz w:val="21"/>
                <w:szCs w:val="21"/>
                <w:lang w:bidi="ar"/>
              </w:rPr>
              <w:t>～</w:t>
            </w:r>
            <w:r>
              <w:rPr>
                <w:rFonts w:hint="eastAsia" w:ascii="宋体" w:hAnsi="宋体" w:eastAsia="宋体" w:cs="宋体"/>
                <w:kern w:val="0"/>
                <w:sz w:val="21"/>
                <w:szCs w:val="21"/>
              </w:rPr>
              <w:t>10V/div。</w:t>
            </w:r>
          </w:p>
          <w:p w14:paraId="39A45CA5">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偏移范围：±0.5V(&lt;500μV/div)、±1V(≥500μV/div，≤65mV/div)、±8V(&gt;65mV/div，≤270mV/div)、±20V(&gt;270mV/div，≤2.75V/div)、±100V(&gt;2.75V/div，≤10V/div)；动态范围：±4div(12bit)。</w:t>
            </w:r>
          </w:p>
          <w:p w14:paraId="17E7A351">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带宽限制（典型值）：20MHz、FULL，每通道独立可选。</w:t>
            </w:r>
          </w:p>
          <w:p w14:paraId="7D4D674B">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直流增益精确度：±1%(&gt;5mV/div，FullScale)、±2%（≤5mV/div，FullScale，典型值）。</w:t>
            </w:r>
          </w:p>
          <w:p w14:paraId="44F9C828">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直流偏移精确度：≤200mV/div(±0.1div±2mV±1.5%偏移量)、&gt;200mV/div(±0.1div±2mV±1.0%偏移量)。</w:t>
            </w:r>
          </w:p>
          <w:p w14:paraId="00624381">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通道间隔离度：≥100:1；ESD容限：±8kV（对于输入BNC）。</w:t>
            </w:r>
          </w:p>
          <w:p w14:paraId="000A83F4">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水平系统：时基范围2ns/div</w:t>
            </w:r>
            <w:r>
              <w:rPr>
                <w:rFonts w:hint="eastAsia" w:ascii="宋体" w:hAnsi="宋体" w:eastAsia="宋体" w:cs="宋体"/>
                <w:kern w:val="0"/>
                <w:sz w:val="21"/>
                <w:szCs w:val="21"/>
                <w:lang w:bidi="ar"/>
              </w:rPr>
              <w:t>～</w:t>
            </w:r>
            <w:r>
              <w:rPr>
                <w:rFonts w:hint="eastAsia" w:ascii="宋体" w:hAnsi="宋体" w:eastAsia="宋体" w:cs="宋体"/>
                <w:kern w:val="0"/>
                <w:sz w:val="21"/>
                <w:szCs w:val="21"/>
              </w:rPr>
              <w:t>500s/div(支持时基微调)，时基分辨率100ps，时基精度±25ppm±5ppm/year。</w:t>
            </w:r>
          </w:p>
          <w:p w14:paraId="56A6F66E">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时基延迟范围：触发前-5div、触发后1s或100div中的最大值。</w:t>
            </w:r>
          </w:p>
          <w:p w14:paraId="0322CD74">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时基增量测量精度：±(时基精度×读数)±(0.001×屏幕宽度)±20ps。</w:t>
            </w:r>
          </w:p>
          <w:p w14:paraId="76B2E50C">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通道间偏移校正：通道间偏移校正范围±100ns，精度±1ps。</w:t>
            </w:r>
          </w:p>
          <w:p w14:paraId="68FB6ED5">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模拟通道间延迟（典型值）：≤2ns；水平模式：YT,XY,SCAN,ROLL。</w:t>
            </w:r>
          </w:p>
          <w:p w14:paraId="5EE1A8FB">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触发系统：模拟通道（1～4）、数字通道（D0～D15）触发源；支持自动、普通、单次触发模式。</w:t>
            </w:r>
          </w:p>
          <w:p w14:paraId="0D8E9074">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触发耦合：直流耦合触发；交流耦合触发；高频抑制，截止频率～120kHz（仅内部触发）；低频抑制，截止频率～120kHz（仅内部触发）。</w:t>
            </w:r>
          </w:p>
          <w:p w14:paraId="69499724">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噪声抑制：为触发电路增加迟滞（仅内部触发），可选择打开或关闭；释抑范围：8ns～10s。</w:t>
            </w:r>
          </w:p>
          <w:p w14:paraId="431127DF">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触发带宽：内部触发：示波器模拟带宽。</w:t>
            </w:r>
          </w:p>
          <w:p w14:paraId="01CFF9A3">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触发灵敏度：内部触发0.5div，≥50mV/div；打开噪声抑制，0.7div。</w:t>
            </w:r>
          </w:p>
          <w:p w14:paraId="15C1E389">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触发电平范围：内部触发距屏幕中心±4.5div。</w:t>
            </w:r>
          </w:p>
          <w:p w14:paraId="5D2BF1C6">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触发类型：边沿、脉宽、斜率、视频、码型、持续时间、超时、欠幅脉冲、超幅、延迟、建立保持、第N边沿触发、I2C、SPI、RS232/UART、CAN、LIN。</w:t>
            </w:r>
          </w:p>
          <w:p w14:paraId="4272D509">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lang w:bidi="ar"/>
              </w:rPr>
              <w:t>搜索导航功能：支持边沿、脉宽；信源模拟通道；复制：可与触发设置相互拷贝，也可独立设置，包括阈值设置，搜索条件设置；结果显示：以事件列表形式展示，可以导出到外部存储器或内部存储器；时间导航：按时间顺序查看采集到的波形；事件导航：借助导航按键自动滚动查看搜索结果；帧段导航：查看凝时模式下采集到帧段。</w:t>
            </w:r>
          </w:p>
          <w:p w14:paraId="110B1624">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波形测量：支持41种自动测量、最多同时显示10个测量；测量源CH1～CH4、D0～D15、Math1～Math4；主时基、扩展时基测量区域。</w:t>
            </w:r>
          </w:p>
          <w:p w14:paraId="7AA870E8">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波形运算：可同时显示4个数学函数；支持加、减、乘、除、FFT、与、或、非、异或、Intg、Diff、Lg、Ln、Exp、Sqrt、Abs、AX+B、低通滤波、高通滤波、带通滤波、带阻滤波多种数学运算；支持FFT的色温显示；内置增强FFT分析和峰值搜索功能。</w:t>
            </w:r>
          </w:p>
          <w:p w14:paraId="1F250BCD">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波形分析：具备将被测信号按照触发事件进行分段存储，即每个触发事件到来时将采集的全部波形数据作为一个分段保存在易失性存储空间，最多采集的分段数多达50万波形录制功能，并支持逐帧或连续播放，对播放的波形可以进行运算、测量和解码；通过测试：将被测信号与用户自定义的规则（模板）进行比较，提供通过、失败数量和测试总数。通过/失败事件可以触发立即停止、蜂鸣器和屏幕截图；直方图：波形直方图提供一组数据值，表示在显示屏上用于定义区域范围内总命中数。波形直方图即是命中分布的直观图示，又是可以测量的数字数组；色温：提供波形强度的三维视图，色温级数＞16级，256级色阶显示。</w:t>
            </w:r>
          </w:p>
          <w:p w14:paraId="45570DB2">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串行解码：解码个数4个，可支持四种协议类型同时解码和开关；标配并行、RS232/UART、I2C、SPI、CAN、LIN解码类型。</w:t>
            </w:r>
          </w:p>
          <w:p w14:paraId="6BB79AEB">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提供3位ACV/DCV数字电压表、3～6位（用户可设置）高精度频率计和48位累加计数器功能。</w:t>
            </w:r>
          </w:p>
          <w:p w14:paraId="718E80A8">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kern w:val="0"/>
                <w:sz w:val="21"/>
                <w:szCs w:val="21"/>
              </w:rPr>
              <w:t>接口：USB Device&amp;Host，</w:t>
            </w:r>
            <w:r>
              <w:rPr>
                <w:rFonts w:hint="eastAsia" w:ascii="宋体" w:hAnsi="宋体" w:eastAsia="宋体" w:cs="宋体"/>
                <w:sz w:val="21"/>
                <w:szCs w:val="21"/>
              </w:rPr>
              <w:t>LAN(LXI)</w:t>
            </w:r>
            <w:r>
              <w:rPr>
                <w:rFonts w:hint="eastAsia" w:ascii="宋体" w:hAnsi="宋体" w:eastAsia="宋体" w:cs="宋体"/>
                <w:kern w:val="0"/>
                <w:sz w:val="21"/>
                <w:szCs w:val="21"/>
              </w:rPr>
              <w:t>，AUX OUT，HDMI，</w:t>
            </w:r>
            <w:r>
              <w:rPr>
                <w:rFonts w:hint="eastAsia" w:ascii="宋体" w:hAnsi="宋体" w:eastAsia="宋体" w:cs="宋体"/>
                <w:sz w:val="21"/>
                <w:szCs w:val="21"/>
              </w:rPr>
              <w:t>支持USB和网络打印机，支持电子邮件发送</w:t>
            </w:r>
            <w:r>
              <w:rPr>
                <w:rFonts w:hint="eastAsia" w:ascii="宋体" w:hAnsi="宋体" w:eastAsia="宋体" w:cs="宋体"/>
                <w:kern w:val="0"/>
                <w:sz w:val="21"/>
                <w:szCs w:val="21"/>
              </w:rPr>
              <w:t>。</w:t>
            </w:r>
          </w:p>
          <w:p w14:paraId="2D78BEE9">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显示屏≥7英寸1024×600多点触控电容屏，支持手势操作，支持关闭余辉、无限余辉、余辉时间可调（100ms～10s）功能，256个亮度等级（LCD、HDMI）；Cortex-A72，1.8GHz六核处理器，4GB RAM系统内存，Android操作系统，8GB内部非易失性存储器；支持Web远程控制（Web Control界面），用户在PC端网络浏览器上输入示波器的IP地址，即可显示示波器操作界面；支持在线版本升级功能；提供Type-C供电接口、支持移动电源供电。</w:t>
            </w:r>
          </w:p>
          <w:p w14:paraId="061B9C11">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提供正版虚拟仪器开发NI LabVIEW学生版《电子电路虚拟仪器实验》课程标准实验课件，该实验课程包含了电子电路中的经典电路实验内容：交流电路频率特性的测定；二阶电路暂态过程的研究；基本放大电路；负反馈在放大电路中的应用；基本运算电路；RC正弦波振荡电路；555定时器实验等。</w:t>
            </w:r>
            <w:r>
              <w:rPr>
                <w:rFonts w:hint="eastAsia" w:ascii="宋体" w:hAnsi="宋体" w:eastAsia="宋体" w:cs="宋体"/>
                <w:b/>
                <w:bCs/>
                <w:kern w:val="0"/>
                <w:sz w:val="21"/>
                <w:szCs w:val="21"/>
              </w:rPr>
              <w:t>(为防止盗版课件，投标文件中需提供该实验课件内容截图并提供该课件为正版的证明材料，否则投标无效</w:t>
            </w:r>
            <w:r>
              <w:rPr>
                <w:rFonts w:hint="eastAsia" w:ascii="宋体" w:hAnsi="宋体" w:eastAsia="宋体" w:cs="宋体"/>
                <w:kern w:val="0"/>
                <w:sz w:val="21"/>
                <w:szCs w:val="21"/>
              </w:rPr>
              <w:t>)</w:t>
            </w:r>
          </w:p>
          <w:p w14:paraId="2D0E2B43">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kern w:val="0"/>
                <w:sz w:val="21"/>
                <w:szCs w:val="21"/>
              </w:rPr>
              <w:t>投标人所投设备必须能与实验室现有“数字示波器”兼容并配套组网使用（采购人实验室现有设备型号：DHO914-EDU），否则不予收货验收。</w:t>
            </w:r>
          </w:p>
          <w:p w14:paraId="37E539AD">
            <w:pPr>
              <w:pStyle w:val="36"/>
              <w:keepNext w:val="0"/>
              <w:keepLines w:val="0"/>
              <w:numPr>
                <w:ilvl w:val="0"/>
                <w:numId w:val="41"/>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eastAsia="宋体" w:cs="宋体"/>
                <w:kern w:val="0"/>
                <w:sz w:val="21"/>
                <w:szCs w:val="21"/>
                <w:lang w:bidi="ar"/>
              </w:rPr>
              <w:t>售后服务≥1年，为保证售后服务质量，中标人于供货时必须提供所投产品生产厂家针对本项目出具的授权书及售后服务承诺书原件，否则不给予收货验收。</w:t>
            </w:r>
          </w:p>
        </w:tc>
      </w:tr>
      <w:tr w14:paraId="12A0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51BFB292">
            <w:pPr>
              <w:keepNext w:val="0"/>
              <w:keepLines w:val="0"/>
              <w:numPr>
                <w:ilvl w:val="0"/>
                <w:numId w:val="0"/>
              </w:numPr>
              <w:suppressLineNumbers w:val="0"/>
              <w:spacing w:before="0" w:beforeAutospacing="0" w:after="0" w:afterAutospacing="0"/>
              <w:ind w:left="0" w:right="0"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10</w:t>
            </w:r>
          </w:p>
        </w:tc>
        <w:tc>
          <w:tcPr>
            <w:tcW w:w="1134" w:type="dxa"/>
            <w:vAlign w:val="center"/>
          </w:tcPr>
          <w:p w14:paraId="606F479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弗兰克</w:t>
            </w:r>
            <w:r>
              <w:rPr>
                <w:rFonts w:hint="eastAsia" w:ascii="宋体" w:hAnsi="宋体" w:eastAsia="宋体" w:cs="宋体"/>
                <w:sz w:val="21"/>
                <w:szCs w:val="21"/>
              </w:rPr>
              <w:noBreakHyphen/>
            </w:r>
            <w:r>
              <w:rPr>
                <w:rFonts w:hint="eastAsia" w:ascii="宋体" w:hAnsi="宋体" w:eastAsia="宋体" w:cs="宋体"/>
                <w:sz w:val="21"/>
                <w:szCs w:val="21"/>
              </w:rPr>
              <w:t>赫兹实验仪</w:t>
            </w:r>
          </w:p>
        </w:tc>
        <w:tc>
          <w:tcPr>
            <w:tcW w:w="709" w:type="dxa"/>
            <w:vAlign w:val="center"/>
          </w:tcPr>
          <w:p w14:paraId="3E88FD5F">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2</w:t>
            </w:r>
          </w:p>
        </w:tc>
        <w:tc>
          <w:tcPr>
            <w:tcW w:w="708" w:type="dxa"/>
            <w:vAlign w:val="center"/>
          </w:tcPr>
          <w:p w14:paraId="2157E796">
            <w:pPr>
              <w:keepNext w:val="0"/>
              <w:keepLines w:val="0"/>
              <w:widowControl w:val="0"/>
              <w:suppressLineNumbers w:val="0"/>
              <w:spacing w:before="0" w:beforeAutospacing="0" w:after="0" w:afterAutospacing="0"/>
              <w:ind w:left="0" w:leftChars="0" w:right="0" w:rightChars="0"/>
              <w:jc w:val="center"/>
              <w:rPr>
                <w:rFonts w:hint="eastAsia" w:ascii="宋体" w:hAnsi="宋体" w:eastAsia="宋体" w:cs="宋体"/>
                <w:sz w:val="21"/>
                <w:szCs w:val="21"/>
              </w:rPr>
            </w:pPr>
            <w:r>
              <w:rPr>
                <w:rFonts w:hint="eastAsia" w:ascii="宋体" w:hAnsi="宋体" w:eastAsia="宋体" w:cs="宋体"/>
                <w:kern w:val="2"/>
                <w:sz w:val="21"/>
                <w:szCs w:val="21"/>
                <w:lang w:val="en-US" w:eastAsia="zh-CN" w:bidi="ar"/>
              </w:rPr>
              <w:t>台</w:t>
            </w:r>
          </w:p>
        </w:tc>
        <w:tc>
          <w:tcPr>
            <w:tcW w:w="5877" w:type="dxa"/>
            <w:vAlign w:val="top"/>
          </w:tcPr>
          <w:p w14:paraId="0689ED77">
            <w:pPr>
              <w:pStyle w:val="22"/>
              <w:keepNext w:val="0"/>
              <w:keepLines w:val="0"/>
              <w:widowControl w:val="0"/>
              <w:numPr>
                <w:ilvl w:val="0"/>
                <w:numId w:val="42"/>
              </w:numPr>
              <w:suppressLineNumbers w:val="0"/>
              <w:autoSpaceDE w:val="0"/>
              <w:autoSpaceDN w:val="0"/>
              <w:adjustRightInd w:val="0"/>
              <w:spacing w:before="0" w:beforeAutospacing="0" w:after="0" w:afterAutospacing="0"/>
              <w:ind w:left="0" w:right="0" w:firstLine="0"/>
              <w:jc w:val="both"/>
              <w:rPr>
                <w:rFonts w:hint="eastAsia" w:ascii="宋体" w:hAnsi="宋体" w:eastAsia="宋体" w:cs="宋体"/>
                <w:color w:val="000000"/>
                <w:sz w:val="21"/>
                <w:szCs w:val="21"/>
              </w:rPr>
            </w:pPr>
            <w:r>
              <w:rPr>
                <w:rFonts w:hint="eastAsia" w:ascii="宋体" w:hAnsi="宋体" w:eastAsia="宋体" w:cs="宋体"/>
                <w:b/>
                <w:bCs/>
                <w:iCs/>
                <w:color w:val="000000"/>
                <w:kern w:val="0"/>
                <w:sz w:val="21"/>
                <w:szCs w:val="21"/>
                <w:lang w:val="en-US" w:eastAsia="zh-CN" w:bidi="ar"/>
              </w:rPr>
              <w:t>设备可完成的实验项目要求</w:t>
            </w:r>
            <w:r>
              <w:rPr>
                <w:rFonts w:hint="eastAsia" w:ascii="宋体" w:hAnsi="宋体" w:eastAsia="宋体" w:cs="宋体"/>
                <w:b/>
                <w:bCs/>
                <w:color w:val="000000"/>
                <w:kern w:val="0"/>
                <w:sz w:val="21"/>
                <w:szCs w:val="21"/>
                <w:lang w:val="en-US" w:eastAsia="zh-CN" w:bidi="ar"/>
              </w:rPr>
              <w:t>：</w:t>
            </w:r>
          </w:p>
          <w:p w14:paraId="6C7EE6DF">
            <w:pPr>
              <w:pStyle w:val="22"/>
              <w:keepNext w:val="0"/>
              <w:keepLines w:val="0"/>
              <w:widowControl w:val="0"/>
              <w:numPr>
                <w:ilvl w:val="0"/>
                <w:numId w:val="43"/>
              </w:numPr>
              <w:suppressLineNumbers w:val="0"/>
              <w:spacing w:before="0" w:beforeAutospacing="0" w:after="0" w:afterAutospacing="0"/>
              <w:ind w:left="0" w:right="0" w:firstLine="0" w:firstLineChars="0"/>
              <w:jc w:val="both"/>
              <w:rPr>
                <w:rFonts w:hint="eastAsia" w:ascii="宋体" w:hAnsi="宋体" w:eastAsia="宋体" w:cs="宋体"/>
                <w:iCs/>
                <w:kern w:val="2"/>
                <w:sz w:val="21"/>
                <w:szCs w:val="21"/>
              </w:rPr>
            </w:pPr>
            <w:r>
              <w:rPr>
                <w:rFonts w:hint="eastAsia" w:ascii="宋体" w:hAnsi="宋体" w:eastAsia="宋体" w:cs="宋体"/>
                <w:iCs/>
                <w:kern w:val="2"/>
                <w:sz w:val="21"/>
                <w:szCs w:val="21"/>
                <w:lang w:val="en-US" w:eastAsia="zh-CN" w:bidi="ar"/>
              </w:rPr>
              <w:t>研究夫兰克—赫兹管中电流变化的规律。</w:t>
            </w:r>
          </w:p>
          <w:p w14:paraId="6169AB2B">
            <w:pPr>
              <w:pStyle w:val="22"/>
              <w:keepNext w:val="0"/>
              <w:keepLines w:val="0"/>
              <w:widowControl w:val="0"/>
              <w:numPr>
                <w:ilvl w:val="0"/>
                <w:numId w:val="43"/>
              </w:numPr>
              <w:suppressLineNumbers w:val="0"/>
              <w:spacing w:before="0" w:beforeAutospacing="0" w:after="0" w:afterAutospacing="0"/>
              <w:ind w:left="0" w:right="0" w:firstLine="0" w:firstLineChars="0"/>
              <w:jc w:val="both"/>
              <w:rPr>
                <w:rFonts w:hint="eastAsia" w:ascii="宋体" w:hAnsi="宋体" w:eastAsia="宋体" w:cs="宋体"/>
                <w:iCs/>
                <w:kern w:val="2"/>
                <w:sz w:val="21"/>
                <w:szCs w:val="21"/>
              </w:rPr>
            </w:pPr>
            <w:r>
              <w:rPr>
                <w:rFonts w:hint="eastAsia" w:ascii="宋体" w:hAnsi="宋体" w:eastAsia="宋体" w:cs="宋体"/>
                <w:iCs/>
                <w:kern w:val="2"/>
                <w:sz w:val="21"/>
                <w:szCs w:val="21"/>
                <w:lang w:val="en-US" w:eastAsia="zh-CN" w:bidi="ar"/>
              </w:rPr>
              <w:t>通过测定氩原子的第一激发电位，了解和证明原子能级的存在。</w:t>
            </w:r>
          </w:p>
          <w:p w14:paraId="1BBE4C24">
            <w:pPr>
              <w:pStyle w:val="22"/>
              <w:keepNext w:val="0"/>
              <w:keepLines w:val="0"/>
              <w:widowControl w:val="0"/>
              <w:numPr>
                <w:ilvl w:val="0"/>
                <w:numId w:val="42"/>
              </w:numPr>
              <w:suppressLineNumbers w:val="0"/>
              <w:autoSpaceDE w:val="0"/>
              <w:autoSpaceDN w:val="0"/>
              <w:adjustRightInd w:val="0"/>
              <w:spacing w:before="0" w:beforeAutospacing="0" w:after="0" w:afterAutospacing="0"/>
              <w:ind w:left="0" w:right="0" w:firstLine="0"/>
              <w:jc w:val="both"/>
              <w:rPr>
                <w:rFonts w:hint="eastAsia" w:ascii="宋体" w:hAnsi="宋体" w:eastAsia="宋体" w:cs="宋体"/>
                <w:b/>
                <w:bCs/>
                <w:iCs/>
                <w:color w:val="000000"/>
                <w:sz w:val="21"/>
                <w:szCs w:val="21"/>
              </w:rPr>
            </w:pPr>
            <w:r>
              <w:rPr>
                <w:rFonts w:hint="eastAsia" w:ascii="宋体" w:hAnsi="宋体" w:eastAsia="宋体" w:cs="宋体"/>
                <w:b/>
                <w:bCs/>
                <w:iCs/>
                <w:color w:val="000000"/>
                <w:kern w:val="0"/>
                <w:sz w:val="21"/>
                <w:szCs w:val="21"/>
                <w:lang w:val="en-US" w:eastAsia="zh-CN" w:bidi="ar"/>
              </w:rPr>
              <w:t>技术参数要求：</w:t>
            </w:r>
          </w:p>
          <w:p w14:paraId="53CF0802">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kern w:val="2"/>
                <w:sz w:val="21"/>
                <w:szCs w:val="21"/>
              </w:rPr>
            </w:pPr>
            <w:r>
              <w:rPr>
                <w:rFonts w:hint="eastAsia" w:ascii="宋体" w:hAnsi="宋体" w:eastAsia="宋体" w:cs="宋体"/>
                <w:iCs/>
                <w:kern w:val="2"/>
                <w:sz w:val="21"/>
                <w:szCs w:val="21"/>
                <w:lang w:val="en-US" w:eastAsia="zh-CN" w:bidi="ar-SA"/>
              </w:rPr>
              <w:t>1、</w:t>
            </w:r>
            <w:r>
              <w:rPr>
                <w:rFonts w:hint="eastAsia" w:ascii="宋体" w:hAnsi="宋体" w:eastAsia="宋体" w:cs="宋体"/>
                <w:iCs/>
                <w:kern w:val="2"/>
                <w:sz w:val="21"/>
                <w:szCs w:val="21"/>
                <w:lang w:val="en-US" w:eastAsia="zh-CN" w:bidi="ar"/>
              </w:rPr>
              <w:t>夫兰克-赫兹管：充氩（无需加热），4级结构，寿命≥3000h。</w:t>
            </w:r>
          </w:p>
          <w:p w14:paraId="4E5A7204">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kern w:val="2"/>
                <w:sz w:val="21"/>
                <w:szCs w:val="21"/>
              </w:rPr>
            </w:pPr>
            <w:r>
              <w:rPr>
                <w:rFonts w:hint="eastAsia" w:ascii="宋体" w:hAnsi="宋体" w:eastAsia="宋体" w:cs="宋体"/>
                <w:iCs/>
                <w:kern w:val="2"/>
                <w:sz w:val="21"/>
                <w:szCs w:val="21"/>
                <w:lang w:val="en-US" w:eastAsia="zh-CN" w:bidi="ar-SA"/>
              </w:rPr>
              <w:t>2、</w:t>
            </w:r>
            <w:r>
              <w:rPr>
                <w:rFonts w:hint="eastAsia" w:ascii="宋体" w:hAnsi="宋体" w:eastAsia="宋体" w:cs="宋体"/>
                <w:iCs/>
                <w:kern w:val="2"/>
                <w:sz w:val="21"/>
                <w:szCs w:val="21"/>
                <w:lang w:val="en-US" w:eastAsia="zh-CN" w:bidi="ar"/>
              </w:rPr>
              <w:t>微电流测量：测量范围10</w:t>
            </w:r>
            <w:r>
              <w:rPr>
                <w:rFonts w:hint="eastAsia" w:ascii="宋体" w:hAnsi="宋体" w:eastAsia="宋体" w:cs="宋体"/>
                <w:iCs/>
                <w:kern w:val="2"/>
                <w:sz w:val="21"/>
                <w:szCs w:val="21"/>
                <w:vertAlign w:val="superscript"/>
                <w:lang w:val="en-US" w:eastAsia="zh-CN" w:bidi="ar"/>
              </w:rPr>
              <w:t>-6</w:t>
            </w:r>
            <w:r>
              <w:rPr>
                <w:rFonts w:hint="eastAsia" w:ascii="宋体" w:hAnsi="宋体" w:eastAsia="宋体" w:cs="宋体"/>
                <w:iCs/>
                <w:kern w:val="2"/>
                <w:sz w:val="21"/>
                <w:szCs w:val="21"/>
                <w:lang w:val="en-US" w:eastAsia="zh-CN" w:bidi="ar"/>
              </w:rPr>
              <w:t>～10</w:t>
            </w:r>
            <w:r>
              <w:rPr>
                <w:rFonts w:hint="eastAsia" w:ascii="宋体" w:hAnsi="宋体" w:eastAsia="宋体" w:cs="宋体"/>
                <w:iCs/>
                <w:kern w:val="2"/>
                <w:sz w:val="21"/>
                <w:szCs w:val="21"/>
                <w:vertAlign w:val="superscript"/>
                <w:lang w:val="en-US" w:eastAsia="zh-CN" w:bidi="ar"/>
              </w:rPr>
              <w:t>-9</w:t>
            </w:r>
            <w:r>
              <w:rPr>
                <w:rFonts w:hint="eastAsia" w:ascii="宋体" w:hAnsi="宋体" w:eastAsia="宋体" w:cs="宋体"/>
                <w:iCs/>
                <w:kern w:val="2"/>
                <w:sz w:val="21"/>
                <w:szCs w:val="21"/>
                <w:lang w:val="en-US" w:eastAsia="zh-CN" w:bidi="ar"/>
              </w:rPr>
              <w:t>A（4档），三位半数字显示。</w:t>
            </w:r>
          </w:p>
          <w:p w14:paraId="4FDFDA9E">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kern w:val="2"/>
                <w:sz w:val="21"/>
                <w:szCs w:val="21"/>
              </w:rPr>
            </w:pPr>
            <w:r>
              <w:rPr>
                <w:rFonts w:hint="eastAsia" w:ascii="宋体" w:hAnsi="宋体" w:eastAsia="宋体" w:cs="宋体"/>
                <w:iCs/>
                <w:kern w:val="2"/>
                <w:sz w:val="21"/>
                <w:szCs w:val="21"/>
                <w:lang w:val="en-US" w:eastAsia="zh-CN" w:bidi="ar-SA"/>
              </w:rPr>
              <w:t>3、</w:t>
            </w:r>
            <w:r>
              <w:rPr>
                <w:rFonts w:hint="eastAsia" w:ascii="宋体" w:hAnsi="宋体" w:eastAsia="宋体" w:cs="宋体"/>
                <w:iCs/>
                <w:kern w:val="2"/>
                <w:sz w:val="21"/>
                <w:szCs w:val="21"/>
                <w:lang w:val="en-US" w:eastAsia="zh-CN" w:bidi="ar"/>
              </w:rPr>
              <w:t>最小读数：电压0.1V，微电流10</w:t>
            </w:r>
            <w:r>
              <w:rPr>
                <w:rFonts w:hint="eastAsia" w:ascii="宋体" w:hAnsi="宋体" w:eastAsia="宋体" w:cs="宋体"/>
                <w:iCs/>
                <w:kern w:val="2"/>
                <w:sz w:val="21"/>
                <w:szCs w:val="21"/>
                <w:vertAlign w:val="superscript"/>
                <w:lang w:val="en-US" w:eastAsia="zh-CN" w:bidi="ar"/>
              </w:rPr>
              <w:t>-10</w:t>
            </w:r>
            <w:r>
              <w:rPr>
                <w:rFonts w:hint="eastAsia" w:ascii="宋体" w:hAnsi="宋体" w:eastAsia="宋体" w:cs="宋体"/>
                <w:iCs/>
                <w:kern w:val="2"/>
                <w:sz w:val="21"/>
                <w:szCs w:val="21"/>
                <w:lang w:val="en-US" w:eastAsia="zh-CN" w:bidi="ar"/>
              </w:rPr>
              <w:t>A。</w:t>
            </w:r>
          </w:p>
          <w:p w14:paraId="45260530">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kern w:val="2"/>
                <w:sz w:val="21"/>
                <w:szCs w:val="21"/>
              </w:rPr>
            </w:pPr>
            <w:r>
              <w:rPr>
                <w:rFonts w:hint="eastAsia" w:ascii="宋体" w:hAnsi="宋体" w:eastAsia="宋体" w:cs="宋体"/>
                <w:iCs/>
                <w:kern w:val="2"/>
                <w:sz w:val="21"/>
                <w:szCs w:val="21"/>
                <w:lang w:val="en-US" w:eastAsia="zh-CN" w:bidi="ar-SA"/>
              </w:rPr>
              <w:t>4、</w:t>
            </w:r>
            <w:r>
              <w:rPr>
                <w:rFonts w:hint="eastAsia" w:ascii="宋体" w:hAnsi="宋体" w:eastAsia="宋体" w:cs="宋体"/>
                <w:iCs/>
                <w:kern w:val="2"/>
                <w:sz w:val="21"/>
                <w:szCs w:val="21"/>
                <w:lang w:val="en-US" w:eastAsia="zh-CN" w:bidi="ar"/>
              </w:rPr>
              <w:t>动态显示：普通示波器直接观察，直观演示实验过程的动态谱峰。</w:t>
            </w:r>
          </w:p>
          <w:p w14:paraId="005F729E">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kern w:val="2"/>
                <w:sz w:val="21"/>
                <w:szCs w:val="21"/>
                <w:lang w:val="en-US" w:eastAsia="zh-CN" w:bidi="ar"/>
              </w:rPr>
            </w:pPr>
            <w:r>
              <w:rPr>
                <w:rFonts w:hint="eastAsia" w:ascii="宋体" w:hAnsi="宋体" w:eastAsia="宋体" w:cs="宋体"/>
                <w:iCs/>
                <w:kern w:val="2"/>
                <w:sz w:val="21"/>
                <w:szCs w:val="21"/>
                <w:lang w:val="en-US" w:eastAsia="zh-CN" w:bidi="ar-SA"/>
              </w:rPr>
              <w:t>5</w:t>
            </w:r>
            <w:r>
              <w:rPr>
                <w:rFonts w:hint="eastAsia" w:ascii="宋体" w:hAnsi="宋体" w:eastAsia="宋体" w:cs="宋体"/>
                <w:iCs/>
                <w:kern w:val="2"/>
                <w:sz w:val="21"/>
                <w:szCs w:val="21"/>
                <w:lang w:val="en-US" w:eastAsia="zh-CN" w:bidi="ar"/>
              </w:rPr>
              <w:t>、工作电压：</w:t>
            </w:r>
          </w:p>
          <w:p w14:paraId="5C59E49A">
            <w:pPr>
              <w:pStyle w:val="22"/>
              <w:keepNext w:val="0"/>
              <w:keepLines w:val="0"/>
              <w:widowControl w:val="0"/>
              <w:numPr>
                <w:ilvl w:val="0"/>
                <w:numId w:val="44"/>
              </w:numPr>
              <w:suppressLineNumbers w:val="0"/>
              <w:spacing w:before="0" w:beforeAutospacing="0" w:after="0" w:afterAutospacing="0"/>
              <w:ind w:left="425" w:leftChars="0" w:right="0" w:rightChars="0" w:hanging="425" w:firstLineChars="0"/>
              <w:jc w:val="both"/>
              <w:rPr>
                <w:rFonts w:hint="eastAsia" w:ascii="宋体" w:hAnsi="宋体" w:eastAsia="宋体" w:cs="宋体"/>
                <w:iCs/>
                <w:kern w:val="2"/>
                <w:sz w:val="21"/>
                <w:szCs w:val="21"/>
                <w:lang w:val="en-US" w:eastAsia="zh-CN" w:bidi="ar"/>
              </w:rPr>
            </w:pPr>
            <w:r>
              <w:rPr>
                <w:rFonts w:hint="eastAsia" w:ascii="宋体" w:hAnsi="宋体" w:eastAsia="宋体" w:cs="宋体"/>
                <w:iCs/>
                <w:kern w:val="2"/>
                <w:sz w:val="21"/>
                <w:szCs w:val="21"/>
                <w:lang w:val="en-US" w:eastAsia="zh-CN" w:bidi="ar"/>
              </w:rPr>
              <w:t>灯丝电压(UH )：DC 3～6.2 V，±1%。</w:t>
            </w:r>
          </w:p>
          <w:p w14:paraId="0B07175A">
            <w:pPr>
              <w:pStyle w:val="22"/>
              <w:keepNext w:val="0"/>
              <w:keepLines w:val="0"/>
              <w:widowControl w:val="0"/>
              <w:numPr>
                <w:ilvl w:val="0"/>
                <w:numId w:val="44"/>
              </w:numPr>
              <w:suppressLineNumbers w:val="0"/>
              <w:spacing w:before="0" w:beforeAutospacing="0" w:after="0" w:afterAutospacing="0"/>
              <w:ind w:left="425" w:leftChars="0" w:right="0" w:rightChars="0" w:hanging="425" w:firstLineChars="0"/>
              <w:jc w:val="both"/>
              <w:rPr>
                <w:rFonts w:hint="eastAsia" w:ascii="宋体" w:hAnsi="宋体" w:eastAsia="宋体" w:cs="宋体"/>
                <w:iCs/>
                <w:kern w:val="2"/>
                <w:sz w:val="21"/>
                <w:szCs w:val="21"/>
                <w:lang w:val="en-US" w:eastAsia="zh-CN" w:bidi="ar"/>
              </w:rPr>
            </w:pPr>
            <w:r>
              <w:rPr>
                <w:rFonts w:hint="eastAsia" w:ascii="宋体" w:hAnsi="宋体" w:eastAsia="宋体" w:cs="宋体"/>
                <w:iCs/>
                <w:kern w:val="2"/>
                <w:sz w:val="21"/>
                <w:szCs w:val="21"/>
                <w:lang w:val="en-US" w:eastAsia="zh-CN" w:bidi="ar"/>
              </w:rPr>
              <w:t>一栅电压(UG1K)：DC 0～5 V，±1%。</w:t>
            </w:r>
          </w:p>
          <w:p w14:paraId="2CF14921">
            <w:pPr>
              <w:pStyle w:val="22"/>
              <w:keepNext w:val="0"/>
              <w:keepLines w:val="0"/>
              <w:widowControl w:val="0"/>
              <w:numPr>
                <w:ilvl w:val="0"/>
                <w:numId w:val="44"/>
              </w:numPr>
              <w:suppressLineNumbers w:val="0"/>
              <w:spacing w:before="0" w:beforeAutospacing="0" w:after="0" w:afterAutospacing="0"/>
              <w:ind w:left="425" w:leftChars="0" w:right="0" w:rightChars="0" w:hanging="425" w:firstLineChars="0"/>
              <w:jc w:val="both"/>
              <w:rPr>
                <w:rFonts w:hint="eastAsia" w:ascii="宋体" w:hAnsi="宋体" w:eastAsia="宋体" w:cs="宋体"/>
                <w:iCs/>
                <w:kern w:val="2"/>
                <w:sz w:val="21"/>
                <w:szCs w:val="21"/>
                <w:lang w:val="en-US" w:eastAsia="zh-CN" w:bidi="ar"/>
              </w:rPr>
            </w:pPr>
            <w:r>
              <w:rPr>
                <w:rFonts w:hint="eastAsia" w:ascii="宋体" w:hAnsi="宋体" w:eastAsia="宋体" w:cs="宋体"/>
                <w:iCs/>
                <w:kern w:val="2"/>
                <w:sz w:val="21"/>
                <w:szCs w:val="21"/>
                <w:lang w:val="en-US" w:eastAsia="zh-CN" w:bidi="ar"/>
              </w:rPr>
              <w:t>二栅电压(UG2K)：DC 0～120V，±1%。</w:t>
            </w:r>
          </w:p>
          <w:p w14:paraId="009C871B">
            <w:pPr>
              <w:pStyle w:val="22"/>
              <w:keepNext w:val="0"/>
              <w:keepLines w:val="0"/>
              <w:widowControl w:val="0"/>
              <w:numPr>
                <w:ilvl w:val="0"/>
                <w:numId w:val="44"/>
              </w:numPr>
              <w:suppressLineNumbers w:val="0"/>
              <w:spacing w:before="0" w:beforeAutospacing="0" w:after="0" w:afterAutospacing="0"/>
              <w:ind w:left="425" w:leftChars="0" w:right="0" w:rightChars="0" w:hanging="425" w:firstLineChars="0"/>
              <w:jc w:val="both"/>
              <w:rPr>
                <w:rFonts w:hint="eastAsia" w:ascii="宋体" w:hAnsi="宋体" w:eastAsia="宋体" w:cs="宋体"/>
                <w:iCs/>
                <w:kern w:val="2"/>
                <w:sz w:val="21"/>
                <w:szCs w:val="21"/>
                <w:lang w:val="en-US" w:eastAsia="zh-CN" w:bidi="ar"/>
              </w:rPr>
            </w:pPr>
            <w:r>
              <w:rPr>
                <w:rFonts w:hint="eastAsia" w:ascii="宋体" w:hAnsi="宋体" w:eastAsia="宋体" w:cs="宋体"/>
                <w:iCs/>
                <w:kern w:val="2"/>
                <w:sz w:val="21"/>
                <w:szCs w:val="21"/>
                <w:lang w:val="en-US" w:eastAsia="zh-CN" w:bidi="ar"/>
              </w:rPr>
              <w:t>拒斥电压(UG2A)：DC 0～15 V，±1%。</w:t>
            </w:r>
          </w:p>
          <w:p w14:paraId="03C43EE1">
            <w:pPr>
              <w:pStyle w:val="22"/>
              <w:keepNext w:val="0"/>
              <w:keepLines w:val="0"/>
              <w:widowControl w:val="0"/>
              <w:numPr>
                <w:ilvl w:val="0"/>
                <w:numId w:val="44"/>
              </w:numPr>
              <w:suppressLineNumbers w:val="0"/>
              <w:spacing w:before="0" w:beforeAutospacing="0" w:after="0" w:afterAutospacing="0"/>
              <w:ind w:left="425" w:leftChars="0" w:right="0" w:rightChars="0" w:hanging="425" w:firstLineChars="0"/>
              <w:jc w:val="both"/>
              <w:rPr>
                <w:rFonts w:hint="eastAsia" w:ascii="宋体" w:hAnsi="宋体" w:eastAsia="宋体" w:cs="宋体"/>
                <w:iCs/>
                <w:kern w:val="2"/>
                <w:sz w:val="21"/>
                <w:szCs w:val="21"/>
                <w:lang w:val="en-US" w:eastAsia="zh-CN" w:bidi="ar"/>
              </w:rPr>
            </w:pPr>
            <w:r>
              <w:rPr>
                <w:rFonts w:hint="eastAsia" w:ascii="宋体" w:hAnsi="宋体" w:eastAsia="宋体" w:cs="宋体"/>
                <w:iCs/>
                <w:kern w:val="2"/>
                <w:sz w:val="21"/>
                <w:szCs w:val="21"/>
                <w:lang w:val="en-US" w:eastAsia="zh-CN" w:bidi="ar"/>
              </w:rPr>
              <w:t>数显工作电压UD：DC 5V，±1%。</w:t>
            </w:r>
          </w:p>
          <w:p w14:paraId="2177350D">
            <w:pPr>
              <w:pStyle w:val="22"/>
              <w:keepNext w:val="0"/>
              <w:keepLines w:val="0"/>
              <w:widowControl w:val="0"/>
              <w:numPr>
                <w:ilvl w:val="0"/>
                <w:numId w:val="44"/>
              </w:numPr>
              <w:suppressLineNumbers w:val="0"/>
              <w:spacing w:before="0" w:beforeAutospacing="0" w:after="0" w:afterAutospacing="0"/>
              <w:ind w:left="425" w:leftChars="0" w:right="0" w:rightChars="0" w:hanging="425" w:firstLineChars="0"/>
              <w:jc w:val="both"/>
              <w:rPr>
                <w:rFonts w:hint="eastAsia" w:ascii="宋体" w:hAnsi="宋体" w:eastAsia="宋体" w:cs="宋体"/>
                <w:iCs/>
                <w:kern w:val="2"/>
                <w:sz w:val="21"/>
                <w:szCs w:val="21"/>
                <w:lang w:val="en-US" w:eastAsia="zh-CN" w:bidi="ar"/>
              </w:rPr>
            </w:pPr>
            <w:r>
              <w:rPr>
                <w:rFonts w:hint="eastAsia" w:ascii="宋体" w:hAnsi="宋体" w:eastAsia="宋体" w:cs="宋体"/>
                <w:iCs/>
                <w:kern w:val="2"/>
                <w:sz w:val="21"/>
                <w:szCs w:val="21"/>
                <w:lang w:val="en-US" w:eastAsia="zh-CN" w:bidi="ar"/>
              </w:rPr>
              <w:t>锯齿波参数：锯齿波扫描幅度≥60 VPP。</w:t>
            </w:r>
          </w:p>
          <w:p w14:paraId="0074A745">
            <w:pPr>
              <w:pStyle w:val="22"/>
              <w:keepNext w:val="0"/>
              <w:keepLines w:val="0"/>
              <w:widowControl w:val="0"/>
              <w:numPr>
                <w:ilvl w:val="0"/>
                <w:numId w:val="44"/>
              </w:numPr>
              <w:suppressLineNumbers w:val="0"/>
              <w:spacing w:before="0" w:beforeAutospacing="0" w:after="0" w:afterAutospacing="0"/>
              <w:ind w:left="425" w:leftChars="0" w:right="0" w:rightChars="0" w:hanging="425" w:firstLineChars="0"/>
              <w:jc w:val="both"/>
              <w:rPr>
                <w:rFonts w:hint="eastAsia" w:ascii="宋体" w:hAnsi="宋体" w:eastAsia="宋体" w:cs="宋体"/>
                <w:iCs/>
                <w:kern w:val="2"/>
                <w:sz w:val="21"/>
                <w:szCs w:val="21"/>
                <w:lang w:val="en-US" w:eastAsia="zh-CN" w:bidi="ar"/>
              </w:rPr>
            </w:pPr>
            <w:r>
              <w:rPr>
                <w:rFonts w:hint="eastAsia" w:ascii="宋体" w:hAnsi="宋体" w:eastAsia="宋体" w:cs="宋体"/>
                <w:iCs/>
                <w:kern w:val="2"/>
                <w:sz w:val="21"/>
                <w:szCs w:val="21"/>
                <w:lang w:val="en-US" w:eastAsia="zh-CN" w:bidi="ar"/>
              </w:rPr>
              <w:t>锯齿波扫描频率：200±2%Hz。</w:t>
            </w:r>
          </w:p>
          <w:p w14:paraId="290FECFF">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b/>
                <w:bCs/>
                <w:iCs/>
                <w:kern w:val="2"/>
                <w:sz w:val="21"/>
                <w:szCs w:val="21"/>
              </w:rPr>
            </w:pPr>
            <w:r>
              <w:rPr>
                <w:rFonts w:hint="eastAsia" w:ascii="宋体" w:hAnsi="宋体" w:eastAsia="宋体" w:cs="宋体"/>
                <w:iCs/>
                <w:kern w:val="2"/>
                <w:sz w:val="21"/>
                <w:szCs w:val="21"/>
                <w:lang w:val="en-US" w:eastAsia="zh-CN" w:bidi="ar"/>
              </w:rPr>
              <w:t>6、▲观察谱峰数：观测谱峰数≥8，观测谱谷数≥6。</w:t>
            </w:r>
            <w:r>
              <w:rPr>
                <w:rFonts w:hint="eastAsia" w:ascii="宋体" w:hAnsi="宋体" w:eastAsia="宋体" w:cs="宋体"/>
                <w:b/>
                <w:bCs/>
                <w:kern w:val="2"/>
                <w:sz w:val="21"/>
                <w:szCs w:val="21"/>
                <w:lang w:val="en-US" w:eastAsia="zh-CN" w:bidi="ar"/>
              </w:rPr>
              <w:t>（投标时需提供该功能实物图，并加盖投标人公章）</w:t>
            </w:r>
          </w:p>
          <w:p w14:paraId="6B675BE7">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color w:val="000000"/>
                <w:kern w:val="2"/>
                <w:sz w:val="21"/>
                <w:szCs w:val="21"/>
              </w:rPr>
            </w:pPr>
            <w:r>
              <w:rPr>
                <w:rFonts w:hint="eastAsia" w:ascii="宋体" w:hAnsi="宋体" w:eastAsia="宋体" w:cs="宋体"/>
                <w:iCs/>
                <w:color w:val="000000"/>
                <w:kern w:val="2"/>
                <w:sz w:val="21"/>
                <w:szCs w:val="21"/>
                <w:lang w:val="en-US" w:eastAsia="zh-CN" w:bidi="ar-SA"/>
              </w:rPr>
              <w:t>7、</w:t>
            </w:r>
            <w:r>
              <w:rPr>
                <w:rFonts w:hint="eastAsia" w:ascii="宋体" w:hAnsi="宋体" w:eastAsia="宋体" w:cs="宋体"/>
                <w:iCs/>
                <w:color w:val="000000"/>
                <w:kern w:val="2"/>
                <w:sz w:val="21"/>
                <w:szCs w:val="21"/>
                <w:lang w:val="en-US" w:eastAsia="zh-CN" w:bidi="ar"/>
              </w:rPr>
              <w:t>二栅电压调节采用旋转式数字编码电位器：无限位，无机械磨损，可快速调节到任意值。</w:t>
            </w:r>
          </w:p>
          <w:p w14:paraId="4390AEDD">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kern w:val="2"/>
                <w:sz w:val="21"/>
                <w:szCs w:val="21"/>
              </w:rPr>
            </w:pPr>
            <w:r>
              <w:rPr>
                <w:rFonts w:hint="eastAsia" w:ascii="宋体" w:hAnsi="宋体" w:eastAsia="宋体" w:cs="宋体"/>
                <w:iCs/>
                <w:kern w:val="2"/>
                <w:sz w:val="21"/>
                <w:szCs w:val="21"/>
                <w:lang w:val="en-US" w:eastAsia="zh-CN" w:bidi="ar-SA"/>
              </w:rPr>
              <w:t>8、</w:t>
            </w:r>
            <w:r>
              <w:rPr>
                <w:rFonts w:hint="eastAsia" w:ascii="宋体" w:hAnsi="宋体" w:eastAsia="宋体" w:cs="宋体"/>
                <w:iCs/>
                <w:kern w:val="2"/>
                <w:sz w:val="21"/>
                <w:szCs w:val="21"/>
                <w:lang w:val="en-US" w:eastAsia="zh-CN" w:bidi="ar"/>
              </w:rPr>
              <w:t>实验面板图示法表示实验原理及电路，5块LED数字面板尽数显示实验参数，各参数表头独立，无需切换。</w:t>
            </w:r>
          </w:p>
          <w:p w14:paraId="154484C8">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kern w:val="2"/>
                <w:sz w:val="21"/>
                <w:szCs w:val="21"/>
              </w:rPr>
            </w:pPr>
            <w:r>
              <w:rPr>
                <w:rFonts w:hint="eastAsia" w:ascii="宋体" w:hAnsi="宋体" w:eastAsia="宋体" w:cs="宋体"/>
                <w:iCs/>
                <w:kern w:val="2"/>
                <w:sz w:val="21"/>
                <w:szCs w:val="21"/>
                <w:lang w:val="en-US" w:eastAsia="zh-CN" w:bidi="ar-SA"/>
              </w:rPr>
              <w:t>9、</w:t>
            </w:r>
            <w:r>
              <w:rPr>
                <w:rFonts w:hint="eastAsia" w:ascii="宋体" w:hAnsi="宋体" w:eastAsia="宋体" w:cs="宋体"/>
                <w:iCs/>
                <w:kern w:val="2"/>
                <w:sz w:val="21"/>
                <w:szCs w:val="21"/>
                <w:lang w:val="en-US" w:eastAsia="zh-CN" w:bidi="ar"/>
              </w:rPr>
              <w:t>支持手动测量和示波器测量2种测量方式。</w:t>
            </w:r>
          </w:p>
          <w:p w14:paraId="071AAFFF">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kern w:val="2"/>
                <w:sz w:val="21"/>
                <w:szCs w:val="21"/>
              </w:rPr>
            </w:pPr>
            <w:r>
              <w:rPr>
                <w:rFonts w:hint="eastAsia" w:ascii="宋体" w:hAnsi="宋体" w:eastAsia="宋体" w:cs="宋体"/>
                <w:iCs/>
                <w:kern w:val="2"/>
                <w:sz w:val="21"/>
                <w:szCs w:val="21"/>
                <w:lang w:val="en-US" w:eastAsia="zh-CN" w:bidi="ar-SA"/>
              </w:rPr>
              <w:t>10、</w:t>
            </w:r>
            <w:r>
              <w:rPr>
                <w:rFonts w:hint="eastAsia" w:ascii="宋体" w:hAnsi="宋体" w:eastAsia="宋体" w:cs="宋体"/>
                <w:iCs/>
                <w:kern w:val="2"/>
                <w:sz w:val="21"/>
                <w:szCs w:val="21"/>
                <w:lang w:val="en-US" w:eastAsia="zh-CN" w:bidi="ar"/>
              </w:rPr>
              <w:t>配有实验数据处理软件，适用于win7及以上64位操作系统。</w:t>
            </w:r>
          </w:p>
          <w:p w14:paraId="49B426CC">
            <w:pPr>
              <w:pStyle w:val="22"/>
              <w:keepNext w:val="0"/>
              <w:keepLines w:val="0"/>
              <w:widowControl w:val="0"/>
              <w:numPr>
                <w:ilvl w:val="0"/>
                <w:numId w:val="0"/>
              </w:numPr>
              <w:suppressLineNumbers w:val="0"/>
              <w:spacing w:before="0" w:beforeAutospacing="0" w:after="0" w:afterAutospacing="0"/>
              <w:ind w:left="0" w:leftChars="0" w:right="0" w:rightChars="0" w:firstLine="0" w:firstLineChars="0"/>
              <w:jc w:val="both"/>
              <w:rPr>
                <w:rFonts w:hint="eastAsia" w:ascii="宋体" w:hAnsi="宋体" w:eastAsia="宋体" w:cs="宋体"/>
                <w:iCs/>
                <w:color w:val="EE0000"/>
                <w:kern w:val="2"/>
                <w:sz w:val="21"/>
                <w:szCs w:val="21"/>
              </w:rPr>
            </w:pPr>
            <w:r>
              <w:rPr>
                <w:rFonts w:hint="eastAsia" w:ascii="宋体" w:hAnsi="宋体" w:eastAsia="宋体" w:cs="宋体"/>
                <w:iCs/>
                <w:color w:val="auto"/>
                <w:kern w:val="2"/>
                <w:sz w:val="21"/>
                <w:szCs w:val="21"/>
                <w:lang w:val="en-US" w:eastAsia="zh-CN" w:bidi="ar-SA"/>
              </w:rPr>
              <w:t>11、</w:t>
            </w:r>
            <w:r>
              <w:rPr>
                <w:rFonts w:hint="eastAsia" w:ascii="宋体" w:hAnsi="宋体" w:eastAsia="宋体" w:cs="宋体"/>
                <w:iCs/>
                <w:color w:val="auto"/>
                <w:kern w:val="2"/>
                <w:sz w:val="21"/>
                <w:szCs w:val="21"/>
                <w:lang w:val="en-US" w:eastAsia="zh-CN" w:bidi="ar"/>
              </w:rPr>
              <w:t>每</w:t>
            </w:r>
            <w:r>
              <w:rPr>
                <w:rFonts w:hint="eastAsia" w:ascii="宋体" w:hAnsi="宋体" w:eastAsia="宋体" w:cs="宋体"/>
                <w:iCs/>
                <w:kern w:val="2"/>
                <w:sz w:val="21"/>
                <w:szCs w:val="21"/>
                <w:lang w:val="en-US" w:eastAsia="zh-CN" w:bidi="ar"/>
              </w:rPr>
              <w:t>台设备配置二维码，可供用户查阅说明书、操作视频、本机信息以及故障报修。</w:t>
            </w:r>
          </w:p>
          <w:p w14:paraId="7DA7C5B7">
            <w:pPr>
              <w:pStyle w:val="22"/>
              <w:keepNext w:val="0"/>
              <w:keepLines w:val="0"/>
              <w:widowControl w:val="0"/>
              <w:numPr>
                <w:ilvl w:val="0"/>
                <w:numId w:val="42"/>
              </w:numPr>
              <w:suppressLineNumbers w:val="0"/>
              <w:autoSpaceDE w:val="0"/>
              <w:autoSpaceDN w:val="0"/>
              <w:adjustRightInd w:val="0"/>
              <w:spacing w:before="0" w:beforeAutospacing="0" w:after="0" w:afterAutospacing="0"/>
              <w:ind w:left="0" w:right="0" w:firstLine="0"/>
              <w:jc w:val="both"/>
              <w:rPr>
                <w:rFonts w:hint="eastAsia" w:ascii="宋体" w:hAnsi="宋体" w:eastAsia="宋体" w:cs="宋体"/>
                <w:b/>
                <w:bCs/>
                <w:iCs/>
                <w:color w:val="000000"/>
                <w:sz w:val="21"/>
                <w:szCs w:val="21"/>
              </w:rPr>
            </w:pPr>
            <w:r>
              <w:rPr>
                <w:rFonts w:hint="eastAsia" w:ascii="宋体" w:hAnsi="宋体" w:eastAsia="宋体" w:cs="宋体"/>
                <w:b/>
                <w:bCs/>
                <w:iCs/>
                <w:color w:val="000000"/>
                <w:kern w:val="0"/>
                <w:sz w:val="21"/>
                <w:szCs w:val="21"/>
                <w:lang w:val="en-US" w:eastAsia="zh-CN" w:bidi="ar"/>
              </w:rPr>
              <w:t>★投标人所投设备必须能与实验室现有“弗兰克-赫兹实验仪”兼容并配套使用（采购人实验室现有设备型号：LB-FH），否则不予收货验收。</w:t>
            </w:r>
          </w:p>
          <w:p w14:paraId="0324CFDF">
            <w:pPr>
              <w:pStyle w:val="22"/>
              <w:keepNext w:val="0"/>
              <w:keepLines w:val="0"/>
              <w:widowControl w:val="0"/>
              <w:numPr>
                <w:ilvl w:val="0"/>
                <w:numId w:val="42"/>
              </w:numPr>
              <w:suppressLineNumbers w:val="0"/>
              <w:autoSpaceDE w:val="0"/>
              <w:autoSpaceDN w:val="0"/>
              <w:adjustRightInd w:val="0"/>
              <w:spacing w:before="0" w:beforeAutospacing="0" w:after="0" w:afterAutospacing="0"/>
              <w:ind w:left="0" w:leftChars="0" w:right="0" w:rightChars="0" w:firstLine="0" w:firstLineChars="0"/>
              <w:jc w:val="both"/>
              <w:rPr>
                <w:rFonts w:hint="eastAsia" w:ascii="宋体" w:hAnsi="宋体" w:eastAsia="宋体" w:cs="宋体"/>
                <w:sz w:val="21"/>
                <w:szCs w:val="21"/>
              </w:rPr>
            </w:pPr>
            <w:r>
              <w:rPr>
                <w:rFonts w:hint="eastAsia" w:ascii="宋体" w:hAnsi="宋体" w:eastAsia="宋体" w:cs="宋体"/>
                <w:b/>
                <w:bCs/>
                <w:iCs/>
                <w:color w:val="000000"/>
                <w:kern w:val="0"/>
                <w:sz w:val="21"/>
                <w:szCs w:val="21"/>
                <w:lang w:val="en-US" w:eastAsia="zh-CN" w:bidi="ar"/>
              </w:rPr>
              <w:t>★售后服务≥1年，为保证售后服务质量，中标人于供货时必须提供所投产品生产厂家针对本项目出具的授权书及售后服务承诺书原件，否则不给予收货验收。</w:t>
            </w:r>
          </w:p>
        </w:tc>
      </w:tr>
      <w:tr w14:paraId="472D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3464550D">
            <w:pPr>
              <w:keepNext w:val="0"/>
              <w:keepLines w:val="0"/>
              <w:numPr>
                <w:ilvl w:val="0"/>
                <w:numId w:val="0"/>
              </w:numPr>
              <w:suppressLineNumbers w:val="0"/>
              <w:spacing w:before="0" w:beforeAutospacing="0" w:after="0" w:afterAutospacing="0"/>
              <w:ind w:left="0" w:right="0"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11</w:t>
            </w:r>
          </w:p>
        </w:tc>
        <w:tc>
          <w:tcPr>
            <w:tcW w:w="1134" w:type="dxa"/>
            <w:vAlign w:val="center"/>
          </w:tcPr>
          <w:p w14:paraId="4B30345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无人机</w:t>
            </w:r>
          </w:p>
        </w:tc>
        <w:tc>
          <w:tcPr>
            <w:tcW w:w="709" w:type="dxa"/>
            <w:vAlign w:val="center"/>
          </w:tcPr>
          <w:p w14:paraId="5F6761FC">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1</w:t>
            </w:r>
          </w:p>
        </w:tc>
        <w:tc>
          <w:tcPr>
            <w:tcW w:w="708" w:type="dxa"/>
            <w:vAlign w:val="center"/>
          </w:tcPr>
          <w:p w14:paraId="5EFB9528">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台</w:t>
            </w:r>
          </w:p>
        </w:tc>
        <w:tc>
          <w:tcPr>
            <w:tcW w:w="5877" w:type="dxa"/>
            <w:vAlign w:val="center"/>
          </w:tcPr>
          <w:p w14:paraId="0EDA5E8E">
            <w:pPr>
              <w:pStyle w:val="36"/>
              <w:keepNext w:val="0"/>
              <w:keepLines w:val="0"/>
              <w:numPr>
                <w:ilvl w:val="0"/>
                <w:numId w:val="4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视频拍摄能力：4K 60P。</w:t>
            </w:r>
          </w:p>
          <w:p w14:paraId="2A359D66">
            <w:pPr>
              <w:pStyle w:val="36"/>
              <w:keepNext w:val="0"/>
              <w:keepLines w:val="0"/>
              <w:numPr>
                <w:ilvl w:val="0"/>
                <w:numId w:val="4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主摄CMOS尺寸：1/1.3英寸。</w:t>
            </w:r>
          </w:p>
          <w:p w14:paraId="68275F57">
            <w:pPr>
              <w:pStyle w:val="36"/>
              <w:keepNext w:val="0"/>
              <w:keepLines w:val="0"/>
              <w:numPr>
                <w:ilvl w:val="0"/>
                <w:numId w:val="4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主摄像素数：4800万。</w:t>
            </w:r>
          </w:p>
          <w:p w14:paraId="20EE015E">
            <w:pPr>
              <w:pStyle w:val="36"/>
              <w:keepNext w:val="0"/>
              <w:keepLines w:val="0"/>
              <w:numPr>
                <w:ilvl w:val="0"/>
                <w:numId w:val="4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最大飞行时间：45分钟。</w:t>
            </w:r>
          </w:p>
          <w:p w14:paraId="637A298F">
            <w:pPr>
              <w:pStyle w:val="36"/>
              <w:keepNext w:val="0"/>
              <w:keepLines w:val="0"/>
              <w:numPr>
                <w:ilvl w:val="0"/>
                <w:numId w:val="4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感知系统类型：多方向避障。</w:t>
            </w:r>
          </w:p>
        </w:tc>
      </w:tr>
      <w:tr w14:paraId="5ED3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451E18D3">
            <w:pPr>
              <w:keepNext w:val="0"/>
              <w:keepLines w:val="0"/>
              <w:numPr>
                <w:ilvl w:val="0"/>
                <w:numId w:val="0"/>
              </w:numPr>
              <w:suppressLineNumbers w:val="0"/>
              <w:spacing w:before="0" w:beforeAutospacing="0" w:after="0" w:afterAutospacing="0"/>
              <w:ind w:left="0" w:right="0"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12</w:t>
            </w:r>
          </w:p>
        </w:tc>
        <w:tc>
          <w:tcPr>
            <w:tcW w:w="1134" w:type="dxa"/>
            <w:vAlign w:val="center"/>
          </w:tcPr>
          <w:p w14:paraId="285CA96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摄像机</w:t>
            </w:r>
          </w:p>
        </w:tc>
        <w:tc>
          <w:tcPr>
            <w:tcW w:w="709" w:type="dxa"/>
            <w:vAlign w:val="center"/>
          </w:tcPr>
          <w:p w14:paraId="41251986">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2</w:t>
            </w:r>
          </w:p>
        </w:tc>
        <w:tc>
          <w:tcPr>
            <w:tcW w:w="708" w:type="dxa"/>
            <w:vAlign w:val="center"/>
          </w:tcPr>
          <w:p w14:paraId="77D5DFAD">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台</w:t>
            </w:r>
          </w:p>
        </w:tc>
        <w:tc>
          <w:tcPr>
            <w:tcW w:w="5877" w:type="dxa"/>
            <w:vAlign w:val="center"/>
          </w:tcPr>
          <w:p w14:paraId="6E7C3735">
            <w:pPr>
              <w:keepNext w:val="0"/>
              <w:keepLines w:val="0"/>
              <w:suppressLineNumbers w:val="0"/>
              <w:autoSpaceDN w:val="0"/>
              <w:spacing w:before="0" w:beforeAutospacing="0" w:after="0" w:afterAutospacing="0"/>
              <w:ind w:left="0" w:right="0"/>
              <w:textAlignment w:val="center"/>
              <w:rPr>
                <w:rFonts w:hint="eastAsia" w:ascii="宋体" w:hAnsi="宋体" w:eastAsia="宋体" w:cs="宋体"/>
                <w:sz w:val="21"/>
                <w:szCs w:val="21"/>
              </w:rPr>
            </w:pPr>
            <w:r>
              <w:rPr>
                <w:rFonts w:hint="eastAsia" w:ascii="宋体" w:hAnsi="宋体" w:eastAsia="宋体" w:cs="宋体"/>
                <w:sz w:val="21"/>
                <w:szCs w:val="21"/>
              </w:rPr>
              <w:t>光学变焦倍数：20倍；液晶屏尺寸：3英寸；防抖功能：光学防抖；传感器类型：CMOS；像素≥601万；清晰度4K；变焦倍数：15-30倍。</w:t>
            </w:r>
          </w:p>
        </w:tc>
      </w:tr>
      <w:tr w14:paraId="2565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283CB93B">
            <w:pPr>
              <w:keepNext w:val="0"/>
              <w:keepLines w:val="0"/>
              <w:numPr>
                <w:ilvl w:val="0"/>
                <w:numId w:val="0"/>
              </w:numPr>
              <w:suppressLineNumbers w:val="0"/>
              <w:spacing w:before="0" w:beforeAutospacing="0" w:after="0" w:afterAutospacing="0"/>
              <w:ind w:left="0" w:right="0"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13</w:t>
            </w:r>
          </w:p>
        </w:tc>
        <w:tc>
          <w:tcPr>
            <w:tcW w:w="1134" w:type="dxa"/>
            <w:vAlign w:val="center"/>
          </w:tcPr>
          <w:p w14:paraId="5EA9FE0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数字化科学实验生化传感器套装</w:t>
            </w:r>
          </w:p>
        </w:tc>
        <w:tc>
          <w:tcPr>
            <w:tcW w:w="709" w:type="dxa"/>
            <w:vAlign w:val="center"/>
          </w:tcPr>
          <w:p w14:paraId="265A2D14">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1</w:t>
            </w:r>
          </w:p>
        </w:tc>
        <w:tc>
          <w:tcPr>
            <w:tcW w:w="708" w:type="dxa"/>
            <w:vAlign w:val="center"/>
          </w:tcPr>
          <w:p w14:paraId="4CF61CD9">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套</w:t>
            </w:r>
          </w:p>
        </w:tc>
        <w:tc>
          <w:tcPr>
            <w:tcW w:w="5877" w:type="dxa"/>
            <w:vAlign w:val="center"/>
          </w:tcPr>
          <w:p w14:paraId="09DAE4F1">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双量程光照度传感器 2只：测量范围：0～6000lx、0～60000lx，分度：1 lx，通过按钮切换量程，支持与采集器的有线通讯、无线通讯和独立数据显示三种工作方式。</w:t>
            </w:r>
          </w:p>
          <w:p w14:paraId="26F0CFC9">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相对光照度分布传感器 2只：用于测量平面内的相对光照度分布，测量范围60mm，分度：12点/毫米，支持与采集器的有线通讯、无线通讯工作方式。</w:t>
            </w:r>
          </w:p>
          <w:p w14:paraId="0D96B982">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静电传感器 2套：测量范围：-100nC~+100nC；分度：1nC，用于测量静电电荷电量。通过有线传输方式直接与计算机进行通讯。</w:t>
            </w:r>
          </w:p>
          <w:p w14:paraId="474B6838">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
                <w:bCs/>
                <w:iCs/>
                <w:sz w:val="21"/>
                <w:szCs w:val="21"/>
              </w:rPr>
              <w:t>★</w:t>
            </w:r>
            <w:r>
              <w:rPr>
                <w:rFonts w:hint="eastAsia" w:ascii="宋体" w:hAnsi="宋体" w:eastAsia="宋体" w:cs="宋体"/>
                <w:sz w:val="21"/>
                <w:szCs w:val="21"/>
              </w:rPr>
              <w:t>pH传感器 2只：测量范围：0~14；分度：0.01，具有快速响应的特点，测量数据能在5秒内达到真实值的90%，10秒内稳定。支持与采集器的有线通讯、无线通讯和独立数据显示三种工作方式。</w:t>
            </w:r>
          </w:p>
          <w:p w14:paraId="541AEDF6">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
                <w:bCs/>
                <w:iCs/>
                <w:sz w:val="21"/>
                <w:szCs w:val="21"/>
              </w:rPr>
              <w:t>★</w:t>
            </w:r>
            <w:r>
              <w:rPr>
                <w:rFonts w:hint="eastAsia" w:ascii="宋体" w:hAnsi="宋体" w:eastAsia="宋体" w:cs="宋体"/>
                <w:sz w:val="21"/>
                <w:szCs w:val="21"/>
              </w:rPr>
              <w:t>氯离子传感器 2只：测量范围：0~1mol/L；分度：0.00001mol/L；用于检测溶液中氯离子浓度。支持与采集器的有线通讯、无线和独立数据显示通讯工作方式。</w:t>
            </w:r>
          </w:p>
          <w:p w14:paraId="5786551E">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
                <w:bCs/>
                <w:iCs/>
                <w:sz w:val="21"/>
                <w:szCs w:val="21"/>
              </w:rPr>
              <w:t>★</w:t>
            </w:r>
            <w:r>
              <w:rPr>
                <w:rFonts w:hint="eastAsia" w:ascii="宋体" w:hAnsi="宋体" w:eastAsia="宋体" w:cs="宋体"/>
                <w:sz w:val="21"/>
                <w:szCs w:val="21"/>
              </w:rPr>
              <w:t>盐度传感器 2只：测量范围：0~50ppt，分度：0.001ppt；用于测量水的盐度值；支持与采集器的有线通讯、无线通讯和独立数据显示三种工作方式。</w:t>
            </w:r>
          </w:p>
          <w:p w14:paraId="26645488">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
                <w:bCs/>
                <w:iCs/>
                <w:sz w:val="21"/>
                <w:szCs w:val="21"/>
              </w:rPr>
              <w:t>★</w:t>
            </w:r>
            <w:r>
              <w:rPr>
                <w:rFonts w:hint="eastAsia" w:ascii="宋体" w:hAnsi="宋体" w:eastAsia="宋体" w:cs="宋体"/>
                <w:sz w:val="21"/>
                <w:szCs w:val="21"/>
              </w:rPr>
              <w:t>PM2.5/10传感器 2只：测量范围：0~500ug/m³；分度：1ug/m³。用于检测空气中PM2.5与PM10浓度；支持与数据采集器的有线通讯/无线通讯方式，或接驳无线发射模块B与移动终端设备无线通讯。</w:t>
            </w:r>
          </w:p>
          <w:p w14:paraId="5C726C06">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乙醇传感器 2只：量程：0%~3%，精度：±0.50％，分度：0.01%。可用于测量待测溶液上方空气中乙醇的浓度。</w:t>
            </w:r>
          </w:p>
          <w:p w14:paraId="0D4F9152">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远红外加热器 2套：220V交流供电，功率80W；圆筒型远红外辐射加热炉芯，便于对加热体均匀加热。可完成查理定律、晶体熔解和凝固、比热容等高精度热学定量实验。</w:t>
            </w:r>
          </w:p>
          <w:p w14:paraId="7224B178">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热辐射的吸收实验器 2套：由三种相同材料不同颜色物块及支架组成，与三只温度传感器配合使用，观察在同种照射条件下，不同颜色的吸热本领。</w:t>
            </w:r>
          </w:p>
          <w:p w14:paraId="766C508A">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地磁场发电机 2套：由专用底座、矩形线圈、连接轴承组成，线圈可自由旋转，与微电流传感器配合使用，测量线圈旋转时产生的交流电。</w:t>
            </w:r>
          </w:p>
          <w:p w14:paraId="381D5EF0">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
                <w:bCs/>
                <w:iCs/>
                <w:sz w:val="21"/>
                <w:szCs w:val="21"/>
              </w:rPr>
              <w:t>★</w:t>
            </w:r>
            <w:r>
              <w:rPr>
                <w:rFonts w:hint="eastAsia" w:ascii="宋体" w:hAnsi="宋体" w:eastAsia="宋体" w:cs="宋体"/>
                <w:sz w:val="21"/>
                <w:szCs w:val="21"/>
              </w:rPr>
              <w:t>多功能学生电源 2套：采用交直流双路独立输出设计，直流输出：电压可调范围1.5V～20V，最大输出功率30W；交流输出：频率50Hz，电压可调范围0～9V，最大输出功率4.5W。液晶显示交直流输出电压值。具有交直流输出电压幅值单独调节、直流输出极性切换功能。超过额定功率过载安全保护启动，解除过载5秒钟后自动开启供电。</w:t>
            </w:r>
          </w:p>
          <w:p w14:paraId="2F494D52">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
                <w:bCs/>
                <w:iCs/>
                <w:sz w:val="21"/>
                <w:szCs w:val="21"/>
              </w:rPr>
              <w:t>★</w:t>
            </w:r>
            <w:r>
              <w:rPr>
                <w:rFonts w:hint="eastAsia" w:ascii="宋体" w:hAnsi="宋体" w:eastAsia="宋体" w:cs="宋体"/>
                <w:sz w:val="21"/>
                <w:szCs w:val="21"/>
              </w:rPr>
              <w:t>智能电源 2套：分为手动模式和智能模式输出。手动模式直流输出：1.5V~10V连续可调。智能模式输出：可分别调节单周期的梯形波、单周期三角波及多周期三角波三种模式输出，波形上升与下降斜率分别可调。是法拉第电磁感应定律实验器Ⅱ的必备模块，二者组合使用，可完成研究磁通量的变化率与感生电动势的关系实验。</w:t>
            </w:r>
          </w:p>
          <w:p w14:paraId="17842071">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
                <w:bCs/>
                <w:iCs/>
                <w:sz w:val="21"/>
                <w:szCs w:val="21"/>
              </w:rPr>
              <w:t>★</w:t>
            </w:r>
            <w:r>
              <w:rPr>
                <w:rFonts w:hint="eastAsia" w:ascii="宋体" w:hAnsi="宋体" w:eastAsia="宋体" w:cs="宋体"/>
                <w:sz w:val="21"/>
                <w:szCs w:val="21"/>
              </w:rPr>
              <w:t>火箭飞行记录仪 1套：由火箭模型及测量系统组成，测量系统支持最大测量高度为1000m，可放置到火箭模型的载荷舱中。通过测量系统，记录飞行过程中的10个数据：最大高度、最大速度、助推时间、最大加速度、平均加速度、熄火到最高点时间、最高点到释放降落伞时间、释放降落伞高度、匀减速度、降落时间。所有飞行数据可导入到专用软件中，以图形化的形式还原飞行记录过程及各节点数据。</w:t>
            </w:r>
          </w:p>
          <w:p w14:paraId="6E8A9AD8">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b/>
                <w:bCs/>
                <w:iCs/>
                <w:sz w:val="21"/>
                <w:szCs w:val="21"/>
              </w:rPr>
              <w:t>★</w:t>
            </w:r>
            <w:r>
              <w:rPr>
                <w:rFonts w:hint="eastAsia" w:ascii="宋体" w:hAnsi="宋体" w:eastAsia="宋体" w:cs="宋体"/>
                <w:sz w:val="21"/>
                <w:szCs w:val="21"/>
              </w:rPr>
              <w:t>趣味电路创新实验与设计资源包 1套：包含搭建15种实验电路所需的元件、教程和工具。学生可在动手搭建实验电路过程中，学习电子元器件的基础知识、理解实验电路的基本原理、掌握万用表的使用方法等。</w:t>
            </w:r>
          </w:p>
          <w:p w14:paraId="52DBDBAF">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原电池实验器 2套：原电池实验器由容器（含顶盖和罐体）、电极套装（含铜、铁、锌电极片各2套和碳棒1只）构成。与电流、电压传感器配合使用，用于探究中学化学实验中原电池的形成条件、工作原理及影响因素；还可以完成多个原电池串联、并联等电化学实验活动，并可拓展为电解池或电镀池使用。滑动电极柱改变两电极之间的距离，调换电极片上下安装方式可以改变浸入溶液的面积。</w:t>
            </w:r>
          </w:p>
          <w:p w14:paraId="7A8D3613">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★投标人所投设备必须能与实验室现有“数字化实验设备”兼容并与现有系统平台配套使用（采购人实验室现有设备型号：DISLab），否则不予收货验收。</w:t>
            </w:r>
          </w:p>
          <w:p w14:paraId="71A3F704">
            <w:pPr>
              <w:pStyle w:val="36"/>
              <w:keepNext w:val="0"/>
              <w:keepLines w:val="0"/>
              <w:numPr>
                <w:ilvl w:val="0"/>
                <w:numId w:val="4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★售后服务≥1年，为保证售后服务质量，中标人于供货时必须提供所投产品生产厂家针对本项目出具的授权书及售后服务承诺书原件，否则不给予收货验收。</w:t>
            </w:r>
          </w:p>
        </w:tc>
      </w:tr>
      <w:tr w14:paraId="670C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2700F1D9">
            <w:pPr>
              <w:keepNext w:val="0"/>
              <w:keepLines w:val="0"/>
              <w:numPr>
                <w:ilvl w:val="0"/>
                <w:numId w:val="0"/>
              </w:numPr>
              <w:suppressLineNumbers w:val="0"/>
              <w:spacing w:before="0" w:beforeAutospacing="0" w:after="0" w:afterAutospacing="0"/>
              <w:ind w:left="0" w:right="0"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14</w:t>
            </w:r>
          </w:p>
        </w:tc>
        <w:tc>
          <w:tcPr>
            <w:tcW w:w="1134" w:type="dxa"/>
            <w:vAlign w:val="center"/>
          </w:tcPr>
          <w:p w14:paraId="3A17C20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高压源表</w:t>
            </w:r>
          </w:p>
        </w:tc>
        <w:tc>
          <w:tcPr>
            <w:tcW w:w="709" w:type="dxa"/>
            <w:vAlign w:val="center"/>
          </w:tcPr>
          <w:p w14:paraId="61E3586C">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1</w:t>
            </w:r>
          </w:p>
        </w:tc>
        <w:tc>
          <w:tcPr>
            <w:tcW w:w="708" w:type="dxa"/>
            <w:vAlign w:val="center"/>
          </w:tcPr>
          <w:p w14:paraId="1BD86173">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台</w:t>
            </w:r>
          </w:p>
        </w:tc>
        <w:tc>
          <w:tcPr>
            <w:tcW w:w="5877" w:type="dxa"/>
            <w:vAlign w:val="center"/>
          </w:tcPr>
          <w:p w14:paraId="01981EC4">
            <w:pPr>
              <w:pStyle w:val="36"/>
              <w:keepNext w:val="0"/>
              <w:keepLines w:val="0"/>
              <w:numPr>
                <w:ilvl w:val="0"/>
                <w:numId w:val="4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最大输出/测量范围：1100V/1A/20W。</w:t>
            </w:r>
          </w:p>
          <w:p w14:paraId="6BF272E5">
            <w:pPr>
              <w:pStyle w:val="36"/>
              <w:keepNext w:val="0"/>
              <w:keepLines w:val="0"/>
              <w:numPr>
                <w:ilvl w:val="0"/>
                <w:numId w:val="4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测量精度：10fA。</w:t>
            </w:r>
          </w:p>
          <w:p w14:paraId="54FBE864">
            <w:pPr>
              <w:pStyle w:val="36"/>
              <w:keepNext w:val="0"/>
              <w:keepLines w:val="0"/>
              <w:numPr>
                <w:ilvl w:val="0"/>
                <w:numId w:val="4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基本测量精度：0.012%。</w:t>
            </w:r>
          </w:p>
          <w:p w14:paraId="698B95BC">
            <w:pPr>
              <w:pStyle w:val="36"/>
              <w:keepNext w:val="0"/>
              <w:keepLines w:val="0"/>
              <w:numPr>
                <w:ilvl w:val="0"/>
                <w:numId w:val="4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操作模式：四象限源或吸收操作。</w:t>
            </w:r>
          </w:p>
          <w:p w14:paraId="289D72A6">
            <w:pPr>
              <w:pStyle w:val="36"/>
              <w:keepNext w:val="0"/>
              <w:keepLines w:val="0"/>
              <w:numPr>
                <w:ilvl w:val="0"/>
                <w:numId w:val="4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显示屏：5英寸高分辨率电容式触摸屏。</w:t>
            </w:r>
          </w:p>
          <w:p w14:paraId="58FDAAE5">
            <w:pPr>
              <w:pStyle w:val="36"/>
              <w:keepNext w:val="0"/>
              <w:keepLines w:val="0"/>
              <w:numPr>
                <w:ilvl w:val="0"/>
                <w:numId w:val="4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编程模式：SCPI和TSP®脚本，兼容2400 SCPI模式。</w:t>
            </w:r>
          </w:p>
          <w:p w14:paraId="4C6C5BAD">
            <w:pPr>
              <w:pStyle w:val="36"/>
              <w:keepNext w:val="0"/>
              <w:keepLines w:val="0"/>
              <w:numPr>
                <w:ilvl w:val="0"/>
                <w:numId w:val="47"/>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软件支持：支持KickStart软件进行I-V表征。</w:t>
            </w:r>
          </w:p>
        </w:tc>
      </w:tr>
      <w:tr w14:paraId="431B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2C456909">
            <w:pPr>
              <w:keepNext w:val="0"/>
              <w:keepLines w:val="0"/>
              <w:numPr>
                <w:ilvl w:val="0"/>
                <w:numId w:val="0"/>
              </w:numPr>
              <w:suppressLineNumbers w:val="0"/>
              <w:spacing w:before="0" w:beforeAutospacing="0" w:after="0" w:afterAutospacing="0"/>
              <w:ind w:left="0" w:right="0"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15</w:t>
            </w:r>
          </w:p>
        </w:tc>
        <w:tc>
          <w:tcPr>
            <w:tcW w:w="1134" w:type="dxa"/>
            <w:vAlign w:val="center"/>
          </w:tcPr>
          <w:p w14:paraId="6BB1BEF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脉冲发生器</w:t>
            </w:r>
          </w:p>
        </w:tc>
        <w:tc>
          <w:tcPr>
            <w:tcW w:w="709" w:type="dxa"/>
            <w:vAlign w:val="center"/>
          </w:tcPr>
          <w:p w14:paraId="6D6DA9A6">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1</w:t>
            </w:r>
          </w:p>
        </w:tc>
        <w:tc>
          <w:tcPr>
            <w:tcW w:w="708" w:type="dxa"/>
            <w:vAlign w:val="center"/>
          </w:tcPr>
          <w:p w14:paraId="385A2DFF">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台</w:t>
            </w:r>
          </w:p>
        </w:tc>
        <w:tc>
          <w:tcPr>
            <w:tcW w:w="5877" w:type="dxa"/>
            <w:vAlign w:val="center"/>
          </w:tcPr>
          <w:p w14:paraId="1A2B8DF5">
            <w:pPr>
              <w:pStyle w:val="36"/>
              <w:keepNext w:val="0"/>
              <w:keepLines w:val="0"/>
              <w:numPr>
                <w:ilvl w:val="0"/>
                <w:numId w:val="48"/>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上升时间：&lt;100ps。</w:t>
            </w:r>
          </w:p>
          <w:p w14:paraId="6103DAE1">
            <w:pPr>
              <w:pStyle w:val="36"/>
              <w:keepNext w:val="0"/>
              <w:keepLines w:val="0"/>
              <w:numPr>
                <w:ilvl w:val="0"/>
                <w:numId w:val="48"/>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脉冲幅度：&gt;6V。</w:t>
            </w:r>
          </w:p>
          <w:p w14:paraId="25ED079F">
            <w:pPr>
              <w:pStyle w:val="36"/>
              <w:keepNext w:val="0"/>
              <w:keepLines w:val="0"/>
              <w:numPr>
                <w:ilvl w:val="0"/>
                <w:numId w:val="48"/>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脉冲宽度：200ps-30ns（最大允许误差：±20ps）。</w:t>
            </w:r>
          </w:p>
          <w:p w14:paraId="4AE08DAE">
            <w:pPr>
              <w:pStyle w:val="36"/>
              <w:keepNext w:val="0"/>
              <w:keepLines w:val="0"/>
              <w:numPr>
                <w:ilvl w:val="0"/>
                <w:numId w:val="48"/>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脉冲延迟：0-1s（最大允许误差：±20ps）。</w:t>
            </w:r>
          </w:p>
          <w:p w14:paraId="17EBF936">
            <w:pPr>
              <w:pStyle w:val="36"/>
              <w:keepNext w:val="0"/>
              <w:keepLines w:val="0"/>
              <w:numPr>
                <w:ilvl w:val="0"/>
                <w:numId w:val="48"/>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频率范围：1Hz-20MHz。</w:t>
            </w:r>
          </w:p>
          <w:p w14:paraId="6E06A80E">
            <w:pPr>
              <w:pStyle w:val="36"/>
              <w:keepNext w:val="0"/>
              <w:keepLines w:val="0"/>
              <w:numPr>
                <w:ilvl w:val="0"/>
                <w:numId w:val="48"/>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抖动（峰值）：&lt;15ps。</w:t>
            </w:r>
          </w:p>
          <w:p w14:paraId="4915B7FD">
            <w:pPr>
              <w:pStyle w:val="36"/>
              <w:keepNext w:val="0"/>
              <w:keepLines w:val="0"/>
              <w:numPr>
                <w:ilvl w:val="0"/>
                <w:numId w:val="48"/>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输出阻抗：50Ω。</w:t>
            </w:r>
          </w:p>
          <w:p w14:paraId="6BF0D36D">
            <w:pPr>
              <w:pStyle w:val="36"/>
              <w:keepNext w:val="0"/>
              <w:keepLines w:val="0"/>
              <w:numPr>
                <w:ilvl w:val="0"/>
                <w:numId w:val="48"/>
              </w:numPr>
              <w:suppressLineNumbers w:val="0"/>
              <w:spacing w:before="0" w:beforeAutospacing="0" w:after="0" w:afterAutospacing="0"/>
              <w:ind w:right="0" w:firstLineChars="0"/>
              <w:rPr>
                <w:rFonts w:hint="eastAsia" w:ascii="宋体" w:hAnsi="宋体" w:eastAsia="宋体" w:cs="宋体"/>
                <w:sz w:val="21"/>
                <w:szCs w:val="21"/>
              </w:rPr>
            </w:pPr>
            <w:r>
              <w:rPr>
                <w:rFonts w:hint="eastAsia" w:ascii="宋体" w:hAnsi="宋体" w:eastAsia="宋体" w:cs="宋体"/>
                <w:sz w:val="21"/>
                <w:szCs w:val="21"/>
              </w:rPr>
              <w:t>输出接口：SMA。</w:t>
            </w:r>
          </w:p>
        </w:tc>
      </w:tr>
      <w:tr w14:paraId="1D54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3088116A">
            <w:pPr>
              <w:keepNext w:val="0"/>
              <w:keepLines w:val="0"/>
              <w:numPr>
                <w:ilvl w:val="0"/>
                <w:numId w:val="0"/>
              </w:numPr>
              <w:suppressLineNumbers w:val="0"/>
              <w:spacing w:before="0" w:beforeAutospacing="0" w:after="0" w:afterAutospacing="0"/>
              <w:ind w:left="0" w:right="0"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16</w:t>
            </w:r>
          </w:p>
        </w:tc>
        <w:tc>
          <w:tcPr>
            <w:tcW w:w="1134" w:type="dxa"/>
            <w:vAlign w:val="center"/>
          </w:tcPr>
          <w:p w14:paraId="12DC809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四轴扫描系统</w:t>
            </w:r>
          </w:p>
        </w:tc>
        <w:tc>
          <w:tcPr>
            <w:tcW w:w="709" w:type="dxa"/>
            <w:vAlign w:val="center"/>
          </w:tcPr>
          <w:p w14:paraId="6744C82F">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1</w:t>
            </w:r>
          </w:p>
        </w:tc>
        <w:tc>
          <w:tcPr>
            <w:tcW w:w="708" w:type="dxa"/>
            <w:vAlign w:val="center"/>
          </w:tcPr>
          <w:p w14:paraId="06CFCA6F">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套</w:t>
            </w:r>
          </w:p>
        </w:tc>
        <w:tc>
          <w:tcPr>
            <w:tcW w:w="5877" w:type="dxa"/>
            <w:vAlign w:val="center"/>
          </w:tcPr>
          <w:p w14:paraId="269C0405">
            <w:pPr>
              <w:pStyle w:val="36"/>
              <w:keepNext w:val="0"/>
              <w:keepLines w:val="0"/>
              <w:numPr>
                <w:ilvl w:val="0"/>
                <w:numId w:val="49"/>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平台主体框架（1套）：</w:t>
            </w:r>
          </w:p>
          <w:p w14:paraId="14803E9C">
            <w:pPr>
              <w:pStyle w:val="36"/>
              <w:keepNext w:val="0"/>
              <w:keepLines w:val="0"/>
              <w:numPr>
                <w:ilvl w:val="0"/>
                <w:numId w:val="50"/>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外形尺寸，整体规格600mm×600mm×</w:t>
            </w:r>
            <w:r>
              <w:rPr>
                <w:rFonts w:hint="eastAsia" w:ascii="宋体" w:hAnsi="宋体" w:eastAsia="宋体" w:cs="宋体"/>
                <w:sz w:val="21"/>
                <w:szCs w:val="21"/>
                <w:lang w:val="en-US" w:eastAsia="zh-CN"/>
              </w:rPr>
              <w:t>6</w:t>
            </w:r>
            <w:r>
              <w:rPr>
                <w:rFonts w:hint="eastAsia" w:ascii="宋体" w:hAnsi="宋体" w:eastAsia="宋体" w:cs="宋体"/>
                <w:sz w:val="21"/>
                <w:szCs w:val="21"/>
              </w:rPr>
              <w:t>00mm（加高设计，预留多模块安装空间），开放式龙门结构，三面可接近。</w:t>
            </w:r>
          </w:p>
          <w:p w14:paraId="4312373D">
            <w:pPr>
              <w:pStyle w:val="36"/>
              <w:keepNext w:val="0"/>
              <w:keepLines w:val="0"/>
              <w:numPr>
                <w:ilvl w:val="0"/>
                <w:numId w:val="50"/>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材质：底板采用6061航空铝合金多孔板，光学级加工基准面，整体发黑消光+阳极氧化处理，无磁性、高稳定性。</w:t>
            </w:r>
          </w:p>
          <w:p w14:paraId="4215018E">
            <w:pPr>
              <w:pStyle w:val="36"/>
              <w:keepNext w:val="0"/>
              <w:keepLines w:val="0"/>
              <w:numPr>
                <w:ilvl w:val="0"/>
                <w:numId w:val="50"/>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通用安装接口：1套，台面、立柱、横梁全域密布M6标准光学螺纹孔、燕尾导轨槽、T型槽，兼容光学、力学、电学各类传感器安装拓展。</w:t>
            </w:r>
          </w:p>
          <w:p w14:paraId="195AEC4D">
            <w:pPr>
              <w:pStyle w:val="36"/>
              <w:keepNext w:val="0"/>
              <w:keepLines w:val="0"/>
              <w:numPr>
                <w:ilvl w:val="0"/>
                <w:numId w:val="50"/>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有效工作空间：核心测量区域</w:t>
            </w:r>
            <w:r>
              <w:rPr>
                <w:rFonts w:hint="eastAsia" w:ascii="宋体" w:hAnsi="宋体" w:eastAsia="宋体" w:cs="宋体"/>
                <w:sz w:val="21"/>
                <w:szCs w:val="21"/>
                <w:lang w:val="en-US" w:eastAsia="zh-CN"/>
              </w:rPr>
              <w:t>150</w:t>
            </w:r>
            <w:r>
              <w:rPr>
                <w:rFonts w:hint="eastAsia" w:ascii="宋体" w:hAnsi="宋体" w:eastAsia="宋体" w:cs="宋体"/>
                <w:sz w:val="21"/>
                <w:szCs w:val="21"/>
              </w:rPr>
              <w:t>mm×</w:t>
            </w:r>
            <w:r>
              <w:rPr>
                <w:rFonts w:hint="eastAsia" w:ascii="宋体" w:hAnsi="宋体" w:eastAsia="宋体" w:cs="宋体"/>
                <w:sz w:val="21"/>
                <w:szCs w:val="21"/>
                <w:lang w:val="en-US" w:eastAsia="zh-CN"/>
              </w:rPr>
              <w:t>150</w:t>
            </w:r>
            <w:r>
              <w:rPr>
                <w:rFonts w:hint="eastAsia" w:ascii="宋体" w:hAnsi="宋体" w:eastAsia="宋体" w:cs="宋体"/>
                <w:sz w:val="21"/>
                <w:szCs w:val="21"/>
              </w:rPr>
              <w:t>mm×</w:t>
            </w:r>
            <w:r>
              <w:rPr>
                <w:rFonts w:hint="eastAsia" w:ascii="宋体" w:hAnsi="宋体" w:eastAsia="宋体" w:cs="宋体"/>
                <w:sz w:val="21"/>
                <w:szCs w:val="21"/>
                <w:lang w:val="en-US" w:eastAsia="zh-CN"/>
              </w:rPr>
              <w:t>150</w:t>
            </w:r>
            <w:r>
              <w:rPr>
                <w:rFonts w:hint="eastAsia" w:ascii="宋体" w:hAnsi="宋体" w:eastAsia="宋体" w:cs="宋体"/>
                <w:sz w:val="21"/>
                <w:szCs w:val="21"/>
              </w:rPr>
              <w:t>mm全域无遮挡，多物理场测量全覆盖，Z向加高行程满足力学拉伸、压缩测试需求。</w:t>
            </w:r>
          </w:p>
          <w:p w14:paraId="3176DD64">
            <w:pPr>
              <w:pStyle w:val="36"/>
              <w:keepNext w:val="0"/>
              <w:keepLines w:val="0"/>
              <w:numPr>
                <w:ilvl w:val="0"/>
                <w:numId w:val="50"/>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减震结构：4套，底部配备天然橡胶减震脚垫，四角对称布置，有效降低光学成像抖动与力学测量噪声，提升整机测量稳定性。</w:t>
            </w:r>
          </w:p>
          <w:p w14:paraId="41CE69CD">
            <w:pPr>
              <w:pStyle w:val="36"/>
              <w:keepNext w:val="0"/>
              <w:keepLines w:val="0"/>
              <w:numPr>
                <w:ilvl w:val="0"/>
                <w:numId w:val="50"/>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★模块化扩展槽：</w:t>
            </w:r>
            <w:r>
              <w:rPr>
                <w:rFonts w:hint="eastAsia" w:ascii="宋体" w:hAnsi="宋体" w:eastAsia="宋体" w:cs="宋体"/>
                <w:sz w:val="21"/>
                <w:szCs w:val="21"/>
                <w:lang w:val="en-US" w:eastAsia="zh-CN"/>
              </w:rPr>
              <w:t>4</w:t>
            </w:r>
            <w:r>
              <w:rPr>
                <w:rFonts w:hint="eastAsia" w:ascii="宋体" w:hAnsi="宋体" w:eastAsia="宋体" w:cs="宋体"/>
                <w:sz w:val="21"/>
                <w:szCs w:val="21"/>
              </w:rPr>
              <w:t>组，设备四周标准化预留安装位，支持测量模组热插拔更换，开放式设计，支持用户自定义功能拓展。</w:t>
            </w:r>
          </w:p>
          <w:p w14:paraId="1C6D0C0C">
            <w:pPr>
              <w:pStyle w:val="36"/>
              <w:keepNext w:val="0"/>
              <w:keepLines w:val="0"/>
              <w:numPr>
                <w:ilvl w:val="0"/>
                <w:numId w:val="50"/>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遮光/屏蔽兼容结构：1套，机身预留完整遮光罩与电磁屏蔽罩安装槽，可按需选配遮光、屏蔽组件，适配不同测试场景。</w:t>
            </w:r>
          </w:p>
          <w:p w14:paraId="55B61348">
            <w:pPr>
              <w:pStyle w:val="36"/>
              <w:keepNext w:val="0"/>
              <w:keepLines w:val="0"/>
              <w:numPr>
                <w:ilvl w:val="0"/>
                <w:numId w:val="49"/>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四轴精密运动扫描系统（1套）：</w:t>
            </w:r>
          </w:p>
          <w:p w14:paraId="2D5CB44C">
            <w:pPr>
              <w:pStyle w:val="36"/>
              <w:keepNext w:val="0"/>
              <w:keepLines w:val="0"/>
              <w:numPr>
                <w:ilvl w:val="0"/>
                <w:numId w:val="51"/>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★轴系配置：</w:t>
            </w:r>
            <w:r>
              <w:rPr>
                <w:rFonts w:hint="eastAsia" w:ascii="宋体" w:hAnsi="宋体" w:eastAsia="宋体" w:cs="宋体"/>
                <w:sz w:val="21"/>
                <w:szCs w:val="21"/>
                <w:lang w:val="en-US" w:eastAsia="zh-CN"/>
              </w:rPr>
              <w:t>2</w:t>
            </w:r>
            <w:r>
              <w:rPr>
                <w:rFonts w:hint="eastAsia" w:ascii="宋体" w:hAnsi="宋体" w:eastAsia="宋体" w:cs="宋体"/>
                <w:sz w:val="21"/>
                <w:szCs w:val="21"/>
              </w:rPr>
              <w:t>X/</w:t>
            </w:r>
            <w:r>
              <w:rPr>
                <w:rFonts w:hint="eastAsia" w:ascii="宋体" w:hAnsi="宋体" w:eastAsia="宋体" w:cs="宋体"/>
                <w:sz w:val="21"/>
                <w:szCs w:val="21"/>
                <w:lang w:val="en-US" w:eastAsia="zh-CN"/>
              </w:rPr>
              <w:t>1</w:t>
            </w:r>
            <w:r>
              <w:rPr>
                <w:rFonts w:hint="eastAsia" w:ascii="宋体" w:hAnsi="宋体" w:eastAsia="宋体" w:cs="宋体"/>
                <w:sz w:val="21"/>
                <w:szCs w:val="21"/>
              </w:rPr>
              <w:t>Y/</w:t>
            </w:r>
            <w:r>
              <w:rPr>
                <w:rFonts w:hint="eastAsia" w:ascii="宋体" w:hAnsi="宋体" w:eastAsia="宋体" w:cs="宋体"/>
                <w:sz w:val="21"/>
                <w:szCs w:val="21"/>
                <w:lang w:val="en-US" w:eastAsia="zh-CN"/>
              </w:rPr>
              <w:t>1</w:t>
            </w:r>
            <w:r>
              <w:rPr>
                <w:rFonts w:hint="eastAsia" w:ascii="宋体" w:hAnsi="宋体" w:eastAsia="宋体" w:cs="宋体"/>
                <w:sz w:val="21"/>
                <w:szCs w:val="21"/>
              </w:rPr>
              <w:t>Z三轴直线位移轴+R旋转轴四轴联动架构，支持</w:t>
            </w:r>
            <w:r>
              <w:rPr>
                <w:rFonts w:hint="eastAsia" w:ascii="宋体" w:hAnsi="宋体" w:eastAsia="宋体" w:cs="宋体"/>
                <w:sz w:val="21"/>
                <w:szCs w:val="21"/>
                <w:lang w:val="en-US" w:eastAsia="zh-CN"/>
              </w:rPr>
              <w:t>用户自</w:t>
            </w:r>
            <w:r>
              <w:rPr>
                <w:rFonts w:hint="eastAsia" w:ascii="宋体" w:hAnsi="宋体" w:eastAsia="宋体" w:cs="宋体"/>
                <w:sz w:val="21"/>
                <w:szCs w:val="21"/>
              </w:rPr>
              <w:t>编程运动，可编程实现直线、圆弧、螺旋、自定义轨迹扫描。</w:t>
            </w:r>
          </w:p>
          <w:p w14:paraId="2A61D541">
            <w:pPr>
              <w:pStyle w:val="36"/>
              <w:keepNext w:val="0"/>
              <w:keepLines w:val="0"/>
              <w:numPr>
                <w:ilvl w:val="0"/>
                <w:numId w:val="51"/>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★直线轴行程：X轴</w:t>
            </w:r>
            <w:r>
              <w:rPr>
                <w:rFonts w:hint="eastAsia" w:ascii="宋体" w:hAnsi="宋体" w:eastAsia="宋体" w:cs="宋体"/>
                <w:sz w:val="21"/>
                <w:szCs w:val="21"/>
                <w:lang w:val="en-US" w:eastAsia="zh-CN"/>
              </w:rPr>
              <w:t>2</w:t>
            </w:r>
            <w:r>
              <w:rPr>
                <w:rFonts w:hint="eastAsia" w:ascii="宋体" w:hAnsi="宋体" w:eastAsia="宋体" w:cs="宋体"/>
                <w:sz w:val="21"/>
                <w:szCs w:val="21"/>
              </w:rPr>
              <w:t>套、Y轴1套、Z轴1套，X/Y轴有效行程</w:t>
            </w:r>
            <w:r>
              <w:rPr>
                <w:rFonts w:hint="eastAsia" w:ascii="宋体" w:hAnsi="宋体" w:eastAsia="宋体" w:cs="宋体"/>
                <w:sz w:val="21"/>
                <w:szCs w:val="21"/>
                <w:lang w:val="en-US" w:eastAsia="zh-CN"/>
              </w:rPr>
              <w:t>≥150</w:t>
            </w:r>
            <w:r>
              <w:rPr>
                <w:rFonts w:hint="eastAsia" w:ascii="宋体" w:hAnsi="宋体" w:eastAsia="宋体" w:cs="宋体"/>
                <w:sz w:val="21"/>
                <w:szCs w:val="21"/>
              </w:rPr>
              <w:t>mm，Z轴加长有效行程</w:t>
            </w:r>
            <w:r>
              <w:rPr>
                <w:rFonts w:hint="eastAsia" w:ascii="宋体" w:hAnsi="宋体" w:eastAsia="宋体" w:cs="宋体"/>
                <w:sz w:val="21"/>
                <w:szCs w:val="21"/>
                <w:lang w:val="en-US" w:eastAsia="zh-CN"/>
              </w:rPr>
              <w:t>≥150</w:t>
            </w:r>
            <w:r>
              <w:rPr>
                <w:rFonts w:hint="eastAsia" w:ascii="宋体" w:hAnsi="宋体" w:eastAsia="宋体" w:cs="宋体"/>
                <w:sz w:val="21"/>
                <w:szCs w:val="21"/>
              </w:rPr>
              <w:t>mm，均搭载精密滚珠丝杠+线性导轨，适配力学大行程测试场景。</w:t>
            </w:r>
          </w:p>
          <w:p w14:paraId="42231A67">
            <w:pPr>
              <w:pStyle w:val="36"/>
              <w:keepNext w:val="0"/>
              <w:keepLines w:val="0"/>
              <w:numPr>
                <w:ilvl w:val="0"/>
                <w:numId w:val="51"/>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直线轴重复定位精度：三轴通用±0.</w:t>
            </w:r>
            <w:r>
              <w:rPr>
                <w:rFonts w:hint="eastAsia" w:ascii="宋体" w:hAnsi="宋体" w:eastAsia="宋体" w:cs="宋体"/>
                <w:sz w:val="21"/>
                <w:szCs w:val="21"/>
                <w:lang w:val="en-US" w:eastAsia="zh-CN"/>
              </w:rPr>
              <w:t>1</w:t>
            </w:r>
            <w:r>
              <w:rPr>
                <w:rFonts w:hint="eastAsia" w:ascii="宋体" w:hAnsi="宋体" w:eastAsia="宋体" w:cs="宋体"/>
                <w:sz w:val="21"/>
                <w:szCs w:val="21"/>
              </w:rPr>
              <w:t>mm，单轴定位精准，保障全域扫描测量一致性。</w:t>
            </w:r>
          </w:p>
          <w:p w14:paraId="5943B1A7">
            <w:pPr>
              <w:pStyle w:val="36"/>
              <w:keepNext w:val="0"/>
              <w:keepLines w:val="0"/>
              <w:numPr>
                <w:ilvl w:val="0"/>
                <w:numId w:val="51"/>
              </w:numPr>
              <w:suppressLineNumbers w:val="0"/>
              <w:autoSpaceDN w:val="0"/>
              <w:spacing w:before="0" w:beforeAutospacing="0" w:after="0" w:afterAutospacing="0"/>
              <w:ind w:right="0" w:firstLineChars="0"/>
              <w:textAlignment w:val="center"/>
              <w:rPr>
                <w:rFonts w:hint="eastAsia" w:ascii="宋体" w:hAnsi="宋体" w:eastAsia="宋体" w:cs="宋体"/>
                <w:sz w:val="21"/>
                <w:szCs w:val="21"/>
                <w:lang w:eastAsia="zh-CN"/>
              </w:rPr>
            </w:pPr>
            <w:r>
              <w:rPr>
                <w:rFonts w:hint="eastAsia" w:ascii="宋体" w:hAnsi="宋体" w:eastAsia="宋体" w:cs="宋体"/>
                <w:sz w:val="21"/>
                <w:szCs w:val="21"/>
              </w:rPr>
              <w:t>旋转轴范围：R轴1套，</w:t>
            </w:r>
            <w:r>
              <w:rPr>
                <w:rFonts w:hint="eastAsia" w:ascii="宋体" w:hAnsi="宋体" w:eastAsia="宋体" w:cs="宋体"/>
                <w:sz w:val="21"/>
                <w:szCs w:val="21"/>
                <w:lang w:val="en-US" w:eastAsia="zh-CN"/>
              </w:rPr>
              <w:t>直径40mm，带8mm通孔，</w:t>
            </w:r>
            <w:r>
              <w:rPr>
                <w:rFonts w:hint="eastAsia" w:ascii="宋体" w:hAnsi="宋体" w:eastAsia="宋体" w:cs="宋体"/>
                <w:sz w:val="21"/>
                <w:szCs w:val="21"/>
              </w:rPr>
              <w:t>0°～360°无限连续旋转，支持分度、连续两种工作模式。旋转轴定位精度：R轴闭环±0.</w:t>
            </w:r>
            <w:r>
              <w:rPr>
                <w:rFonts w:hint="eastAsia" w:ascii="宋体" w:hAnsi="宋体" w:eastAsia="宋体" w:cs="宋体"/>
                <w:sz w:val="21"/>
                <w:szCs w:val="21"/>
                <w:lang w:val="en-US" w:eastAsia="zh-CN"/>
              </w:rPr>
              <w:t>05</w:t>
            </w:r>
            <w:r>
              <w:rPr>
                <w:rFonts w:hint="eastAsia" w:ascii="宋体" w:hAnsi="宋体" w:eastAsia="宋体" w:cs="宋体"/>
                <w:sz w:val="21"/>
                <w:szCs w:val="21"/>
              </w:rPr>
              <w:t>°</w:t>
            </w:r>
            <w:r>
              <w:rPr>
                <w:rFonts w:hint="eastAsia" w:ascii="宋体" w:hAnsi="宋体" w:eastAsia="宋体" w:cs="宋体"/>
                <w:sz w:val="21"/>
                <w:szCs w:val="21"/>
                <w:lang w:eastAsia="zh-CN"/>
              </w:rPr>
              <w:t>。</w:t>
            </w:r>
          </w:p>
          <w:p w14:paraId="3CAD0ABB">
            <w:pPr>
              <w:pStyle w:val="36"/>
              <w:keepNext w:val="0"/>
              <w:keepLines w:val="0"/>
              <w:numPr>
                <w:ilvl w:val="0"/>
                <w:numId w:val="51"/>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★最大扫描速度：整机扫描速度最高10mm/s，支持匀速连续扫描、定点步进、变速扫描，可自定义编辑可编程速度曲线。</w:t>
            </w:r>
          </w:p>
          <w:p w14:paraId="75D726FA">
            <w:pPr>
              <w:pStyle w:val="36"/>
              <w:keepNext w:val="0"/>
              <w:keepLines w:val="0"/>
              <w:numPr>
                <w:ilvl w:val="0"/>
                <w:numId w:val="49"/>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光学测量模块（1套）：</w:t>
            </w:r>
          </w:p>
          <w:p w14:paraId="48177732">
            <w:pPr>
              <w:pStyle w:val="36"/>
              <w:keepNext w:val="0"/>
              <w:keepLines w:val="0"/>
              <w:numPr>
                <w:ilvl w:val="0"/>
                <w:numId w:val="52"/>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★核心光强分布扫描探头：1套，可适配多种硅光电二极管，测量量程</w:t>
            </w:r>
            <w:r>
              <w:rPr>
                <w:rFonts w:hint="eastAsia" w:ascii="宋体" w:hAnsi="宋体" w:eastAsia="宋体" w:cs="宋体"/>
                <w:sz w:val="21"/>
                <w:szCs w:val="21"/>
                <w:lang w:val="en-US" w:eastAsia="zh-CN"/>
              </w:rPr>
              <w:t>5</w:t>
            </w:r>
            <w:r>
              <w:rPr>
                <w:rFonts w:hint="eastAsia" w:ascii="宋体" w:hAnsi="宋体" w:eastAsia="宋体" w:cs="宋体"/>
                <w:sz w:val="21"/>
                <w:szCs w:val="21"/>
              </w:rPr>
              <w:t>0μW~100mW，分辨率</w:t>
            </w:r>
            <w:r>
              <w:rPr>
                <w:rFonts w:hint="eastAsia" w:ascii="宋体" w:hAnsi="宋体" w:eastAsia="宋体" w:cs="宋体"/>
                <w:sz w:val="21"/>
                <w:szCs w:val="21"/>
                <w:lang w:val="en-US" w:eastAsia="zh-CN"/>
              </w:rPr>
              <w:t>5</w:t>
            </w:r>
            <w:r>
              <w:rPr>
                <w:rFonts w:hint="eastAsia" w:ascii="宋体" w:hAnsi="宋体" w:eastAsia="宋体" w:cs="宋体"/>
                <w:sz w:val="21"/>
                <w:szCs w:val="21"/>
              </w:rPr>
              <w:t>μW，支持二维、三维全域光强分布扫描。</w:t>
            </w:r>
          </w:p>
          <w:p w14:paraId="071EBC55">
            <w:pPr>
              <w:pStyle w:val="36"/>
              <w:keepNext w:val="0"/>
              <w:keepLines w:val="0"/>
              <w:numPr>
                <w:ilvl w:val="0"/>
                <w:numId w:val="52"/>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可挂载其他光学测量元件进行探测。</w:t>
            </w:r>
          </w:p>
          <w:p w14:paraId="2C71B4F6">
            <w:pPr>
              <w:pStyle w:val="36"/>
              <w:keepNext w:val="0"/>
              <w:keepLines w:val="0"/>
              <w:numPr>
                <w:ilvl w:val="0"/>
                <w:numId w:val="49"/>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b/>
                <w:bCs/>
                <w:sz w:val="21"/>
                <w:szCs w:val="21"/>
              </w:rPr>
              <w:t>力学测量模块（1套）：</w:t>
            </w:r>
          </w:p>
          <w:p w14:paraId="4027B003">
            <w:pPr>
              <w:pStyle w:val="36"/>
              <w:keepNext w:val="0"/>
              <w:keepLines w:val="0"/>
              <w:numPr>
                <w:ilvl w:val="0"/>
                <w:numId w:val="5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★核心精密力传感器：1套（量程可选±</w:t>
            </w:r>
            <w:r>
              <w:rPr>
                <w:rFonts w:hint="eastAsia" w:ascii="宋体" w:hAnsi="宋体" w:eastAsia="宋体" w:cs="宋体"/>
                <w:sz w:val="21"/>
                <w:szCs w:val="21"/>
                <w:lang w:val="en-US" w:eastAsia="zh-CN"/>
              </w:rPr>
              <w:t>0.</w:t>
            </w:r>
            <w:r>
              <w:rPr>
                <w:rFonts w:hint="eastAsia" w:ascii="宋体" w:hAnsi="宋体" w:eastAsia="宋体" w:cs="宋体"/>
                <w:sz w:val="21"/>
                <w:szCs w:val="21"/>
              </w:rPr>
              <w:t>5N/±5N），</w:t>
            </w:r>
            <w:r>
              <w:rPr>
                <w:rFonts w:hint="eastAsia" w:ascii="宋体" w:hAnsi="宋体" w:eastAsia="宋体" w:cs="宋体"/>
                <w:sz w:val="21"/>
                <w:szCs w:val="21"/>
                <w:lang w:val="en-US" w:eastAsia="zh-CN"/>
              </w:rPr>
              <w:t>S</w:t>
            </w:r>
            <w:r>
              <w:rPr>
                <w:rFonts w:hint="eastAsia" w:ascii="宋体" w:hAnsi="宋体" w:eastAsia="宋体" w:cs="宋体"/>
                <w:sz w:val="21"/>
                <w:szCs w:val="21"/>
              </w:rPr>
              <w:t>型拉压力结构，测量精度0.5%FS，主打材料压力、拉力空间分布扫描，为系统次级核心测量功能。</w:t>
            </w:r>
          </w:p>
          <w:p w14:paraId="55A16FB3">
            <w:pPr>
              <w:pStyle w:val="36"/>
              <w:keepNext w:val="0"/>
              <w:keepLines w:val="0"/>
              <w:numPr>
                <w:ilvl w:val="0"/>
                <w:numId w:val="5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静态扭矩测量单元：1套，微型扭矩传感器，量程±1N·m，精度0.1%FS，可配合设备R轴联动使用。</w:t>
            </w:r>
          </w:p>
          <w:p w14:paraId="0674F5C2">
            <w:pPr>
              <w:pStyle w:val="36"/>
              <w:keepNext w:val="0"/>
              <w:keepLines w:val="0"/>
              <w:numPr>
                <w:ilvl w:val="0"/>
                <w:numId w:val="5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★形变测量组件：1套，搭载激光位移传感器辅助测量，量程5</w:t>
            </w:r>
            <w:r>
              <w:rPr>
                <w:rFonts w:hint="eastAsia" w:ascii="宋体" w:hAnsi="宋体" w:eastAsia="宋体" w:cs="宋体"/>
                <w:sz w:val="21"/>
                <w:szCs w:val="21"/>
                <w:lang w:val="en-US" w:eastAsia="zh-CN"/>
              </w:rPr>
              <w:t>0</w:t>
            </w:r>
            <w:r>
              <w:rPr>
                <w:rFonts w:hint="eastAsia" w:ascii="宋体" w:hAnsi="宋体" w:eastAsia="宋体" w:cs="宋体"/>
                <w:sz w:val="21"/>
                <w:szCs w:val="21"/>
              </w:rPr>
              <w:t>mm</w:t>
            </w:r>
            <w:r>
              <w:rPr>
                <w:rFonts w:hint="eastAsia" w:ascii="宋体" w:hAnsi="宋体" w:eastAsia="宋体" w:cs="宋体"/>
                <w:sz w:val="21"/>
                <w:szCs w:val="21"/>
                <w:lang w:val="en-US" w:eastAsia="zh-CN"/>
              </w:rPr>
              <w:t>±15mm</w:t>
            </w:r>
            <w:r>
              <w:rPr>
                <w:rFonts w:hint="eastAsia" w:ascii="宋体" w:hAnsi="宋体" w:eastAsia="宋体" w:cs="宋体"/>
                <w:sz w:val="21"/>
                <w:szCs w:val="21"/>
              </w:rPr>
              <w:t>，分辨率</w:t>
            </w:r>
            <w:r>
              <w:rPr>
                <w:rFonts w:hint="eastAsia" w:ascii="宋体" w:hAnsi="宋体" w:eastAsia="宋体" w:cs="宋体"/>
                <w:sz w:val="21"/>
                <w:szCs w:val="21"/>
                <w:lang w:val="en-US" w:eastAsia="zh-CN"/>
              </w:rPr>
              <w:t>0.015m</w:t>
            </w:r>
            <w:r>
              <w:rPr>
                <w:rFonts w:hint="eastAsia" w:ascii="宋体" w:hAnsi="宋体" w:eastAsia="宋体" w:cs="宋体"/>
                <w:sz w:val="21"/>
                <w:szCs w:val="21"/>
              </w:rPr>
              <w:t>m。</w:t>
            </w:r>
          </w:p>
          <w:p w14:paraId="67A6ACCC">
            <w:pPr>
              <w:pStyle w:val="36"/>
              <w:keepNext w:val="0"/>
              <w:keepLines w:val="0"/>
              <w:numPr>
                <w:ilvl w:val="0"/>
                <w:numId w:val="5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力学夹具系统：1套（含拉伸、压缩、三点弯曲夹具），通用快换接口设计，兼容光学载物台，可快速切换多种力学测试模式。</w:t>
            </w:r>
          </w:p>
          <w:p w14:paraId="6272AB38">
            <w:pPr>
              <w:pStyle w:val="36"/>
              <w:keepNext w:val="0"/>
              <w:keepLines w:val="0"/>
              <w:numPr>
                <w:ilvl w:val="0"/>
                <w:numId w:val="53"/>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★可编程力控扫描模式：整机系统支持，可由用户自定义编程。</w:t>
            </w:r>
          </w:p>
          <w:p w14:paraId="0C45BA75">
            <w:pPr>
              <w:pStyle w:val="36"/>
              <w:keepNext w:val="0"/>
              <w:keepLines w:val="0"/>
              <w:numPr>
                <w:ilvl w:val="0"/>
                <w:numId w:val="49"/>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sz w:val="21"/>
                <w:szCs w:val="21"/>
              </w:rPr>
              <w:t>★</w:t>
            </w:r>
            <w:r>
              <w:rPr>
                <w:rFonts w:hint="eastAsia" w:ascii="宋体" w:hAnsi="宋体" w:eastAsia="宋体" w:cs="宋体"/>
                <w:b/>
                <w:bCs/>
                <w:sz w:val="21"/>
                <w:szCs w:val="21"/>
              </w:rPr>
              <w:t>低频磁场与电学测量模块（1套）：</w:t>
            </w:r>
          </w:p>
          <w:p w14:paraId="36418466">
            <w:pPr>
              <w:pStyle w:val="36"/>
              <w:keepNext w:val="0"/>
              <w:keepLines w:val="0"/>
              <w:numPr>
                <w:ilvl w:val="0"/>
                <w:numId w:val="5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数字三轴霍尔探头：1套，测量量程±</w:t>
            </w:r>
            <w:r>
              <w:rPr>
                <w:rFonts w:hint="eastAsia" w:ascii="宋体" w:hAnsi="宋体" w:eastAsia="宋体" w:cs="宋体"/>
                <w:sz w:val="21"/>
                <w:szCs w:val="21"/>
                <w:lang w:val="en-US" w:eastAsia="zh-CN"/>
              </w:rPr>
              <w:t>4</w:t>
            </w:r>
            <w:r>
              <w:rPr>
                <w:rFonts w:hint="eastAsia" w:ascii="宋体" w:hAnsi="宋体" w:eastAsia="宋体" w:cs="宋体"/>
                <w:sz w:val="21"/>
                <w:szCs w:val="21"/>
              </w:rPr>
              <w:t>mT，分辨率10μT，全量程线性误差≤±0.5%FS，工作带宽DC~10Hz。</w:t>
            </w:r>
          </w:p>
          <w:p w14:paraId="67CFEDF0">
            <w:pPr>
              <w:pStyle w:val="36"/>
              <w:keepNext w:val="0"/>
              <w:keepLines w:val="0"/>
              <w:numPr>
                <w:ilvl w:val="0"/>
                <w:numId w:val="5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微型亥姆霍兹线圈：1套，</w:t>
            </w:r>
            <w:r>
              <w:rPr>
                <w:rFonts w:hint="eastAsia" w:ascii="宋体" w:hAnsi="宋体" w:eastAsia="宋体" w:cs="宋体"/>
                <w:sz w:val="21"/>
                <w:szCs w:val="21"/>
                <w:lang w:val="en-US" w:eastAsia="zh-CN"/>
              </w:rPr>
              <w:t>5</w:t>
            </w:r>
            <w:r>
              <w:rPr>
                <w:rFonts w:hint="eastAsia" w:ascii="宋体" w:hAnsi="宋体" w:eastAsia="宋体" w:cs="宋体"/>
                <w:sz w:val="21"/>
                <w:szCs w:val="21"/>
              </w:rPr>
              <w:t>0mm口径线圈组，可产生局部标准弱磁场。</w:t>
            </w:r>
          </w:p>
          <w:p w14:paraId="4A12F1D7">
            <w:pPr>
              <w:pStyle w:val="36"/>
              <w:keepNext w:val="0"/>
              <w:keepLines w:val="0"/>
              <w:numPr>
                <w:ilvl w:val="0"/>
                <w:numId w:val="54"/>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微弱电压测量单元：1套，毫伏级高精度电压表，量程±10V，分辨率1mV，输入阻抗1MΩ，适配霍尔电压、热电势、接触电势等微弱电学信号测量。</w:t>
            </w:r>
          </w:p>
          <w:p w14:paraId="7B92DC11">
            <w:pPr>
              <w:pStyle w:val="36"/>
              <w:keepNext w:val="0"/>
              <w:keepLines w:val="0"/>
              <w:numPr>
                <w:ilvl w:val="0"/>
                <w:numId w:val="49"/>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sz w:val="21"/>
                <w:szCs w:val="21"/>
              </w:rPr>
              <w:t>★</w:t>
            </w:r>
            <w:r>
              <w:rPr>
                <w:rFonts w:hint="eastAsia" w:ascii="宋体" w:hAnsi="宋体" w:eastAsia="宋体" w:cs="宋体"/>
                <w:b/>
                <w:bCs/>
                <w:sz w:val="21"/>
                <w:szCs w:val="21"/>
                <w:lang w:val="en-US" w:eastAsia="zh-CN"/>
              </w:rPr>
              <w:t>中央</w:t>
            </w:r>
            <w:r>
              <w:rPr>
                <w:rFonts w:hint="eastAsia" w:ascii="宋体" w:hAnsi="宋体" w:eastAsia="宋体" w:cs="宋体"/>
                <w:b/>
                <w:bCs/>
                <w:sz w:val="21"/>
                <w:szCs w:val="21"/>
              </w:rPr>
              <w:t>控制系统（1</w:t>
            </w:r>
            <w:r>
              <w:rPr>
                <w:rFonts w:hint="eastAsia" w:ascii="宋体" w:hAnsi="宋体" w:eastAsia="宋体" w:cs="宋体"/>
                <w:b/>
                <w:bCs/>
                <w:sz w:val="21"/>
                <w:szCs w:val="21"/>
                <w:lang w:val="en-US" w:eastAsia="zh-CN"/>
              </w:rPr>
              <w:t>台</w:t>
            </w:r>
            <w:r>
              <w:rPr>
                <w:rFonts w:hint="eastAsia" w:ascii="宋体" w:hAnsi="宋体" w:eastAsia="宋体" w:cs="宋体"/>
                <w:b/>
                <w:bCs/>
                <w:sz w:val="21"/>
                <w:szCs w:val="21"/>
              </w:rPr>
              <w:t>）</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内含</w:t>
            </w:r>
            <w:r>
              <w:rPr>
                <w:rFonts w:hint="eastAsia" w:ascii="宋体" w:hAnsi="宋体" w:eastAsia="宋体" w:cs="宋体"/>
                <w:b/>
                <w:bCs/>
                <w:sz w:val="21"/>
                <w:szCs w:val="21"/>
              </w:rPr>
              <w:t>：</w:t>
            </w:r>
          </w:p>
          <w:p w14:paraId="42314148">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多通道直流程控电源：内置4路隔离输出通道，输出范围0~12V/1A，电压分辨率1</w:t>
            </w:r>
            <w:r>
              <w:rPr>
                <w:rFonts w:hint="eastAsia" w:ascii="宋体" w:hAnsi="宋体" w:eastAsia="宋体" w:cs="宋体"/>
                <w:sz w:val="21"/>
                <w:szCs w:val="21"/>
                <w:lang w:val="en-US" w:eastAsia="zh-CN"/>
              </w:rPr>
              <w:t>0</w:t>
            </w:r>
            <w:r>
              <w:rPr>
                <w:rFonts w:hint="eastAsia" w:ascii="宋体" w:hAnsi="宋体" w:eastAsia="宋体" w:cs="宋体"/>
                <w:sz w:val="21"/>
                <w:szCs w:val="21"/>
              </w:rPr>
              <w:t>0mV，各路通道独立可编程，为光学、力学、电学全模块统一稳定供电</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有</w:t>
            </w:r>
            <w:r>
              <w:rPr>
                <w:rFonts w:hint="eastAsia" w:ascii="宋体" w:hAnsi="宋体" w:eastAsia="宋体" w:cs="宋体"/>
                <w:sz w:val="21"/>
                <w:szCs w:val="21"/>
              </w:rPr>
              <w:t>过流/过压保护机制。</w:t>
            </w:r>
          </w:p>
          <w:p w14:paraId="6C307F8A">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正弦波</w:t>
            </w:r>
            <w:r>
              <w:rPr>
                <w:rFonts w:hint="eastAsia" w:ascii="宋体" w:hAnsi="宋体" w:eastAsia="宋体" w:cs="宋体"/>
                <w:sz w:val="21"/>
                <w:szCs w:val="21"/>
              </w:rPr>
              <w:t>交流程控电源：内置2路隔离输出通道，峰值电压0~12V，频率范围0.</w:t>
            </w:r>
            <w:r>
              <w:rPr>
                <w:rFonts w:hint="eastAsia" w:ascii="宋体" w:hAnsi="宋体" w:eastAsia="宋体" w:cs="宋体"/>
                <w:sz w:val="21"/>
                <w:szCs w:val="21"/>
                <w:lang w:val="en-US" w:eastAsia="zh-CN"/>
              </w:rPr>
              <w:t>1</w:t>
            </w:r>
            <w:r>
              <w:rPr>
                <w:rFonts w:hint="eastAsia" w:ascii="宋体" w:hAnsi="宋体" w:eastAsia="宋体" w:cs="宋体"/>
                <w:sz w:val="21"/>
                <w:szCs w:val="21"/>
              </w:rPr>
              <w:t>Hz~1kHz，最大输出电流1A，可驱动频闪光源、交变励磁、振动激励等负载</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有</w:t>
            </w:r>
            <w:r>
              <w:rPr>
                <w:rFonts w:hint="eastAsia" w:ascii="宋体" w:hAnsi="宋体" w:eastAsia="宋体" w:cs="宋体"/>
                <w:sz w:val="21"/>
                <w:szCs w:val="21"/>
              </w:rPr>
              <w:t>过流/过压保护机制。</w:t>
            </w:r>
          </w:p>
          <w:p w14:paraId="646DC02E">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多通道信号调理模块：内置4通道可编程增益放大器，增益可调范围1~100倍，低噪声电路设计，可统一调理各类传感器原始信号，优化信号质量。</w:t>
            </w:r>
          </w:p>
          <w:p w14:paraId="6F29C3D0">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同步数据采集模块：搭载10位ADC采集单元，</w:t>
            </w:r>
            <w:r>
              <w:rPr>
                <w:rFonts w:hint="eastAsia" w:ascii="宋体" w:hAnsi="宋体" w:eastAsia="宋体" w:cs="宋体"/>
                <w:sz w:val="21"/>
                <w:szCs w:val="21"/>
                <w:lang w:val="en-US" w:eastAsia="zh-CN"/>
              </w:rPr>
              <w:t>8</w:t>
            </w:r>
            <w:r>
              <w:rPr>
                <w:rFonts w:hint="eastAsia" w:ascii="宋体" w:hAnsi="宋体" w:eastAsia="宋体" w:cs="宋体"/>
                <w:sz w:val="21"/>
                <w:szCs w:val="21"/>
              </w:rPr>
              <w:t>通道，最高采样速率</w:t>
            </w:r>
            <w:r>
              <w:rPr>
                <w:rFonts w:hint="eastAsia" w:ascii="宋体" w:hAnsi="宋体" w:eastAsia="宋体" w:cs="宋体"/>
                <w:sz w:val="21"/>
                <w:szCs w:val="21"/>
                <w:lang w:val="en-US" w:eastAsia="zh-CN"/>
              </w:rPr>
              <w:t>5</w:t>
            </w:r>
            <w:r>
              <w:rPr>
                <w:rFonts w:hint="eastAsia" w:ascii="宋体" w:hAnsi="宋体" w:eastAsia="宋体" w:cs="宋体"/>
                <w:sz w:val="21"/>
                <w:szCs w:val="21"/>
              </w:rPr>
              <w:t>kS/s，实现多传感器数据采集。</w:t>
            </w:r>
          </w:p>
          <w:p w14:paraId="104635F0">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标配本系统的各类数字信号接入与调理模块。</w:t>
            </w:r>
          </w:p>
          <w:p w14:paraId="6EB01958">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10路可编程数字IO口，带光耦隔离，输入兼容3.3V-24V逻辑电平，输出耐压24V,灌入电流≤5mA;</w:t>
            </w:r>
          </w:p>
          <w:p w14:paraId="6D3E360D">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4轴运动控制系统，带多轴</w:t>
            </w:r>
            <w:r>
              <w:rPr>
                <w:rFonts w:hint="eastAsia" w:ascii="宋体" w:hAnsi="宋体" w:eastAsia="宋体" w:cs="宋体"/>
                <w:sz w:val="21"/>
                <w:szCs w:val="21"/>
              </w:rPr>
              <w:t>轴控扩展能力：控制器预留</w:t>
            </w:r>
            <w:r>
              <w:rPr>
                <w:rFonts w:hint="eastAsia" w:ascii="宋体" w:hAnsi="宋体" w:eastAsia="宋体" w:cs="宋体"/>
                <w:sz w:val="21"/>
                <w:szCs w:val="21"/>
                <w:lang w:val="en-US" w:eastAsia="zh-CN"/>
              </w:rPr>
              <w:t>6</w:t>
            </w:r>
            <w:r>
              <w:rPr>
                <w:rFonts w:hint="eastAsia" w:ascii="宋体" w:hAnsi="宋体" w:eastAsia="宋体" w:cs="宋体"/>
                <w:sz w:val="21"/>
                <w:szCs w:val="21"/>
              </w:rPr>
              <w:t>路轴控拓展接口，可外接微调滑台、辅助升降轴，最大可拓展至</w:t>
            </w:r>
            <w:r>
              <w:rPr>
                <w:rFonts w:hint="eastAsia" w:ascii="宋体" w:hAnsi="宋体" w:eastAsia="宋体" w:cs="宋体"/>
                <w:sz w:val="21"/>
                <w:szCs w:val="21"/>
                <w:lang w:val="en-US" w:eastAsia="zh-CN"/>
              </w:rPr>
              <w:t>6</w:t>
            </w:r>
            <w:r>
              <w:rPr>
                <w:rFonts w:hint="eastAsia" w:ascii="宋体" w:hAnsi="宋体" w:eastAsia="宋体" w:cs="宋体"/>
                <w:sz w:val="21"/>
                <w:szCs w:val="21"/>
              </w:rPr>
              <w:t>轴。</w:t>
            </w:r>
          </w:p>
          <w:p w14:paraId="4B8BCBB9">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同步触发输出：1路独立触发通道，运动位置实时输出TTL/光隔离触发信号，可同步各类传感器采样，支持可编程触发频率与延迟调节，实现运动与采集精准同步。</w:t>
            </w:r>
          </w:p>
          <w:p w14:paraId="7D10B71B">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控制系统自带演示模式开源固件及源代码。</w:t>
            </w:r>
          </w:p>
          <w:p w14:paraId="2D614F0A">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按用户需求定制</w:t>
            </w:r>
            <w:r>
              <w:rPr>
                <w:rFonts w:hint="eastAsia" w:ascii="宋体" w:hAnsi="宋体" w:eastAsia="宋体" w:cs="宋体"/>
                <w:sz w:val="21"/>
                <w:szCs w:val="21"/>
                <w:lang w:val="en-US" w:eastAsia="zh-CN"/>
              </w:rPr>
              <w:t>通信接口及</w:t>
            </w:r>
            <w:r>
              <w:rPr>
                <w:rFonts w:hint="eastAsia" w:ascii="宋体" w:hAnsi="宋体" w:eastAsia="宋体" w:cs="宋体"/>
                <w:sz w:val="21"/>
                <w:szCs w:val="21"/>
              </w:rPr>
              <w:t>开放通信协议：</w:t>
            </w:r>
            <w:r>
              <w:rPr>
                <w:rFonts w:hint="eastAsia" w:ascii="宋体" w:hAnsi="宋体" w:eastAsia="宋体" w:cs="宋体"/>
                <w:sz w:val="21"/>
                <w:szCs w:val="21"/>
                <w:lang w:val="en-US" w:eastAsia="zh-CN"/>
              </w:rPr>
              <w:t>选配</w:t>
            </w:r>
            <w:r>
              <w:rPr>
                <w:rFonts w:hint="eastAsia" w:ascii="宋体" w:hAnsi="宋体" w:eastAsia="宋体" w:cs="宋体"/>
                <w:sz w:val="21"/>
                <w:szCs w:val="21"/>
              </w:rPr>
              <w:t>USB2.0、千兆网口、RS</w:t>
            </w:r>
            <w:r>
              <w:rPr>
                <w:rFonts w:hint="eastAsia" w:ascii="宋体" w:hAnsi="宋体" w:eastAsia="宋体" w:cs="宋体"/>
                <w:sz w:val="21"/>
                <w:szCs w:val="21"/>
                <w:lang w:val="en-US" w:eastAsia="zh-CN"/>
              </w:rPr>
              <w:t>232</w:t>
            </w:r>
            <w:r>
              <w:rPr>
                <w:rFonts w:hint="eastAsia" w:ascii="宋体" w:hAnsi="宋体" w:eastAsia="宋体" w:cs="宋体"/>
                <w:sz w:val="21"/>
                <w:szCs w:val="21"/>
              </w:rPr>
              <w:t>、CAN总线</w:t>
            </w:r>
            <w:r>
              <w:rPr>
                <w:rFonts w:hint="eastAsia" w:ascii="宋体" w:hAnsi="宋体" w:eastAsia="宋体" w:cs="宋体"/>
                <w:sz w:val="21"/>
                <w:szCs w:val="21"/>
                <w:lang w:val="en-US" w:eastAsia="zh-CN"/>
              </w:rPr>
              <w:t>等</w:t>
            </w:r>
            <w:r>
              <w:rPr>
                <w:rFonts w:hint="eastAsia" w:ascii="宋体" w:hAnsi="宋体" w:eastAsia="宋体" w:cs="宋体"/>
                <w:sz w:val="21"/>
                <w:szCs w:val="21"/>
              </w:rPr>
              <w:t>多类通信接口，支持大批量汇总数据高速上传、远程设备管控、第三方软件数据交互；开放底层调理、电源、传输配置接口，支持用户二次开发与功能模块拓展。</w:t>
            </w:r>
          </w:p>
          <w:p w14:paraId="6B0C22B8">
            <w:pPr>
              <w:pStyle w:val="36"/>
              <w:keepNext w:val="0"/>
              <w:keepLines w:val="0"/>
              <w:numPr>
                <w:ilvl w:val="0"/>
                <w:numId w:val="55"/>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整机一体化安全防护：完整防护体系，集成电源过压、过流、过热保护，轴系限位防撞、整机急停联锁多重防护机制，搭配机箱集中断电保护逻辑，全方位保障设备安全稳定运行。</w:t>
            </w:r>
          </w:p>
        </w:tc>
      </w:tr>
      <w:tr w14:paraId="6EB8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 w:type="dxa"/>
            <w:vAlign w:val="center"/>
          </w:tcPr>
          <w:p w14:paraId="1F893F2D">
            <w:pPr>
              <w:keepNext w:val="0"/>
              <w:keepLines w:val="0"/>
              <w:numPr>
                <w:ilvl w:val="0"/>
                <w:numId w:val="0"/>
              </w:numPr>
              <w:suppressLineNumbers w:val="0"/>
              <w:spacing w:before="0" w:beforeAutospacing="0" w:after="0" w:afterAutospacing="0"/>
              <w:ind w:left="0" w:right="0"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17</w:t>
            </w:r>
          </w:p>
        </w:tc>
        <w:tc>
          <w:tcPr>
            <w:tcW w:w="1134" w:type="dxa"/>
            <w:vAlign w:val="center"/>
          </w:tcPr>
          <w:p w14:paraId="5FE9978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光</w:t>
            </w:r>
            <w:r>
              <w:rPr>
                <w:rFonts w:hint="eastAsia" w:ascii="宋体" w:hAnsi="宋体" w:eastAsia="宋体" w:cs="宋体"/>
                <w:sz w:val="21"/>
                <w:szCs w:val="21"/>
              </w:rPr>
              <w:noBreakHyphen/>
            </w:r>
            <w:r>
              <w:rPr>
                <w:rFonts w:hint="eastAsia" w:ascii="宋体" w:hAnsi="宋体" w:eastAsia="宋体" w:cs="宋体"/>
                <w:sz w:val="21"/>
                <w:szCs w:val="21"/>
              </w:rPr>
              <w:t>力智能传感材料与器件教研系统</w:t>
            </w:r>
          </w:p>
        </w:tc>
        <w:tc>
          <w:tcPr>
            <w:tcW w:w="709" w:type="dxa"/>
            <w:vAlign w:val="center"/>
          </w:tcPr>
          <w:p w14:paraId="734468E7">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1</w:t>
            </w:r>
          </w:p>
        </w:tc>
        <w:tc>
          <w:tcPr>
            <w:tcW w:w="708" w:type="dxa"/>
            <w:vAlign w:val="center"/>
          </w:tcPr>
          <w:p w14:paraId="48EC0E0F">
            <w:pPr>
              <w:keepNext w:val="0"/>
              <w:keepLines w:val="0"/>
              <w:suppressLineNumbers w:val="0"/>
              <w:spacing w:before="0" w:beforeAutospacing="0" w:after="0" w:afterAutospacing="0"/>
              <w:ind w:left="0" w:right="0"/>
              <w:jc w:val="center"/>
              <w:rPr>
                <w:rFonts w:hint="eastAsia" w:ascii="宋体" w:hAnsi="宋体" w:eastAsia="宋体" w:cs="宋体"/>
                <w:iCs/>
                <w:sz w:val="21"/>
                <w:szCs w:val="21"/>
              </w:rPr>
            </w:pPr>
            <w:r>
              <w:rPr>
                <w:rFonts w:hint="eastAsia" w:ascii="宋体" w:hAnsi="宋体" w:eastAsia="宋体" w:cs="宋体"/>
                <w:sz w:val="21"/>
                <w:szCs w:val="21"/>
              </w:rPr>
              <w:t>套</w:t>
            </w:r>
          </w:p>
        </w:tc>
        <w:tc>
          <w:tcPr>
            <w:tcW w:w="5877" w:type="dxa"/>
            <w:vAlign w:val="center"/>
          </w:tcPr>
          <w:p w14:paraId="5169C80C">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★功能：可用于原位在线测量荧光光谱数据，可进行高速扫描得到时间-波长-荧光强度三维光谱数据，可进行荧光图像拍照。</w:t>
            </w:r>
          </w:p>
          <w:p w14:paraId="3FE8FE19">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检测光谱范围：350-1000nm。</w:t>
            </w:r>
          </w:p>
          <w:p w14:paraId="3E1A13EA">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探测器：线阵CCD，3648有效像素；光路设计：f/4，对称交叉式。</w:t>
            </w:r>
          </w:p>
          <w:p w14:paraId="386018EB">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分辨率：优于2.6nm。</w:t>
            </w:r>
          </w:p>
          <w:p w14:paraId="54ACB6E7">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波长间隔：约0.18nm。</w:t>
            </w:r>
          </w:p>
          <w:p w14:paraId="4B837109">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信噪比：250:1。</w:t>
            </w:r>
          </w:p>
          <w:p w14:paraId="43F46FFB">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动态范围：1300:1（单次采集）。</w:t>
            </w:r>
          </w:p>
          <w:p w14:paraId="79C53FA3">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积分时间：调节范围优于3.8ms-10s。</w:t>
            </w:r>
          </w:p>
          <w:p w14:paraId="4EAFCBEC">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光源：260nm、310nm和395nm各一个，峰值波长±10nm，光纤输出，功率可调。</w:t>
            </w:r>
          </w:p>
          <w:p w14:paraId="63BB3E09">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★探头：支持荧光检测，含滤光片插槽，可自行加入滤光片滤除激发光信号。</w:t>
            </w:r>
          </w:p>
          <w:p w14:paraId="1409EC34">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探头支架：可固定荧光探头，且高度支持旋钮连续调节。</w:t>
            </w:r>
          </w:p>
          <w:p w14:paraId="2CF2AF00">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sz w:val="21"/>
                <w:szCs w:val="21"/>
              </w:rPr>
              <w:t>▲支持指定任意波长的光谱数据进行实时趋势测量，生成随时间变化的趋势线，趋势图可独立分别显示在不同窗口上，同时每个趋势图数据连续自动存储数据于硬盘，连续运行时间≥7×24小时。</w:t>
            </w:r>
            <w:r>
              <w:rPr>
                <w:rFonts w:hint="eastAsia" w:ascii="宋体" w:hAnsi="宋体" w:eastAsia="宋体" w:cs="宋体"/>
                <w:b/>
                <w:bCs/>
                <w:sz w:val="21"/>
                <w:szCs w:val="21"/>
              </w:rPr>
              <w:t>（投标时提供满足上述功能截图证明，并加盖供应商公章）</w:t>
            </w:r>
          </w:p>
          <w:p w14:paraId="329B4DB6">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b/>
                <w:bCs/>
                <w:sz w:val="21"/>
                <w:szCs w:val="21"/>
              </w:rPr>
            </w:pPr>
            <w:r>
              <w:rPr>
                <w:rFonts w:hint="eastAsia" w:ascii="宋体" w:hAnsi="宋体" w:eastAsia="宋体" w:cs="宋体"/>
                <w:sz w:val="21"/>
                <w:szCs w:val="21"/>
              </w:rPr>
              <w:t>▲支持高速扫描功能，可呈现随时间变化三维光谱数据、伪彩图、任意指定波长的时间变化趋势图等；随时间变化三维光谱数据可导出udat工程文件，软件可再次打开保存的udat工程文件格式以便查看每一帧光谱数据等。</w:t>
            </w:r>
            <w:r>
              <w:rPr>
                <w:rFonts w:hint="eastAsia" w:ascii="宋体" w:hAnsi="宋体" w:eastAsia="宋体" w:cs="宋体"/>
                <w:b/>
                <w:bCs/>
                <w:sz w:val="21"/>
                <w:szCs w:val="21"/>
              </w:rPr>
              <w:t>（投标时提供满足上述功能截图证明，并加盖供应商公章）</w:t>
            </w:r>
          </w:p>
          <w:p w14:paraId="545BDF1D">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软件：支持荧光、反射率、透过率和吸光度等光谱采集；支持全部数据批量导出为独立文件或全部导出到同一个Excel中，支持粘贴外部Excel数据至软件上进行数据对比；可自定义检测判定方案（自定义公式的计算物理量），实时判定是否符合标准；在软件上可进行归一化分析和求导计算等功能。</w:t>
            </w:r>
          </w:p>
          <w:p w14:paraId="50644057">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成像相机：2616万像素堆栈式背照式X-Trans CMOS 5 HS传感器；电子快门最高‌40张/秒‌，5轴机身防抖；3.0英寸162万像素侧翻式触摸液晶屏。</w:t>
            </w:r>
          </w:p>
          <w:p w14:paraId="11AE8E05">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材料高低温配件：温度1100度，电源AC220V/50HZ，额定功率1.2KW，升温速率&lt;10度/min，采用电阻丝加热。</w:t>
            </w:r>
          </w:p>
          <w:p w14:paraId="4F01F654">
            <w:pPr>
              <w:pStyle w:val="36"/>
              <w:keepNext w:val="0"/>
              <w:keepLines w:val="0"/>
              <w:numPr>
                <w:ilvl w:val="0"/>
                <w:numId w:val="56"/>
              </w:numPr>
              <w:suppressLineNumbers w:val="0"/>
              <w:autoSpaceDN w:val="0"/>
              <w:spacing w:before="0" w:beforeAutospacing="0" w:after="0" w:afterAutospacing="0"/>
              <w:ind w:right="0" w:firstLineChars="0"/>
              <w:textAlignment w:val="center"/>
              <w:rPr>
                <w:rFonts w:hint="eastAsia" w:ascii="宋体" w:hAnsi="宋体" w:eastAsia="宋体" w:cs="宋体"/>
                <w:sz w:val="21"/>
                <w:szCs w:val="21"/>
              </w:rPr>
            </w:pPr>
            <w:r>
              <w:rPr>
                <w:rFonts w:hint="eastAsia" w:ascii="宋体" w:hAnsi="宋体" w:eastAsia="宋体" w:cs="宋体"/>
                <w:sz w:val="21"/>
                <w:szCs w:val="21"/>
              </w:rPr>
              <w:t>售后服务≥1年，为保证售后服务质量，中标人于供货时必须提供所投产品生产厂家针对本项目出具的授权书及售后服务承诺书原件，否则不给予收货验收</w:t>
            </w:r>
            <w:r>
              <w:rPr>
                <w:rFonts w:hint="eastAsia" w:ascii="宋体" w:hAnsi="宋体" w:cs="宋体"/>
                <w:sz w:val="21"/>
                <w:szCs w:val="21"/>
                <w:lang w:eastAsia="zh-CN"/>
              </w:rPr>
              <w:t>。</w:t>
            </w:r>
          </w:p>
        </w:tc>
      </w:tr>
    </w:tbl>
    <w:p w14:paraId="0D888FAC">
      <w:pPr>
        <w:rPr>
          <w:rFonts w:ascii="宋体" w:hAnsi="宋体" w:cs="宋体"/>
          <w:b/>
          <w:bCs/>
          <w:sz w:val="24"/>
        </w:rPr>
      </w:pPr>
      <w:r>
        <w:rPr>
          <w:rFonts w:hint="eastAsia" w:ascii="宋体" w:hAnsi="宋体" w:cs="宋体"/>
          <w:b/>
          <w:bCs/>
          <w:sz w:val="24"/>
        </w:rPr>
        <w:br w:type="page"/>
      </w:r>
    </w:p>
    <w:p w14:paraId="32D7CF07">
      <w:pPr>
        <w:pStyle w:val="17"/>
        <w:rPr>
          <w:rFonts w:ascii="宋体" w:hAnsi="宋体" w:cs="宋体"/>
          <w:b/>
          <w:bCs/>
          <w:sz w:val="24"/>
        </w:rPr>
      </w:pPr>
      <w:r>
        <w:rPr>
          <w:rFonts w:hint="eastAsia" w:ascii="宋体" w:hAnsi="宋体" w:cs="宋体"/>
          <w:b/>
          <w:bCs/>
          <w:sz w:val="24"/>
        </w:rPr>
        <w:t>★二、商务要求：</w:t>
      </w:r>
    </w:p>
    <w:tbl>
      <w:tblPr>
        <w:tblStyle w:val="25"/>
        <w:tblW w:w="9690"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770"/>
        <w:gridCol w:w="6856"/>
      </w:tblGrid>
      <w:tr w14:paraId="2199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064" w:type="dxa"/>
            <w:vAlign w:val="center"/>
          </w:tcPr>
          <w:p w14:paraId="214C047C">
            <w:pPr>
              <w:keepNext w:val="0"/>
              <w:keepLines w:val="0"/>
              <w:suppressLineNumbers w:val="0"/>
              <w:spacing w:before="0" w:beforeAutospacing="0" w:after="0" w:afterAutospacing="0" w:line="360" w:lineRule="auto"/>
              <w:ind w:left="0" w:right="0"/>
              <w:jc w:val="center"/>
              <w:rPr>
                <w:rFonts w:hint="default"/>
              </w:rPr>
            </w:pPr>
            <w:r>
              <w:rPr>
                <w:rFonts w:hint="eastAsia"/>
              </w:rPr>
              <w:t>1</w:t>
            </w:r>
          </w:p>
        </w:tc>
        <w:tc>
          <w:tcPr>
            <w:tcW w:w="1770" w:type="dxa"/>
            <w:vAlign w:val="center"/>
          </w:tcPr>
          <w:p w14:paraId="68E272A2">
            <w:pPr>
              <w:keepNext w:val="0"/>
              <w:keepLines w:val="0"/>
              <w:suppressLineNumbers w:val="0"/>
              <w:spacing w:before="0" w:beforeAutospacing="0" w:after="0" w:afterAutospacing="0" w:line="360" w:lineRule="auto"/>
              <w:ind w:left="0" w:right="0"/>
              <w:jc w:val="center"/>
              <w:rPr>
                <w:rFonts w:hint="default"/>
              </w:rPr>
            </w:pPr>
            <w:r>
              <w:rPr>
                <w:rFonts w:hint="eastAsia"/>
              </w:rPr>
              <w:t>合同签订日期</w:t>
            </w:r>
          </w:p>
        </w:tc>
        <w:tc>
          <w:tcPr>
            <w:tcW w:w="6856" w:type="dxa"/>
            <w:vAlign w:val="center"/>
          </w:tcPr>
          <w:p w14:paraId="342736A3">
            <w:pPr>
              <w:keepNext w:val="0"/>
              <w:keepLines w:val="0"/>
              <w:suppressLineNumbers w:val="0"/>
              <w:spacing w:before="0" w:beforeAutospacing="0" w:after="0" w:afterAutospacing="0" w:line="360" w:lineRule="auto"/>
              <w:ind w:left="0" w:right="0"/>
              <w:jc w:val="left"/>
              <w:rPr>
                <w:rFonts w:hint="default"/>
              </w:rPr>
            </w:pPr>
            <w:r>
              <w:rPr>
                <w:rFonts w:hint="eastAsia"/>
              </w:rPr>
              <w:t>中标通知书发出后</w:t>
            </w:r>
            <w:r>
              <w:rPr>
                <w:rFonts w:hint="eastAsia"/>
                <w:u w:val="single"/>
              </w:rPr>
              <w:t>25</w:t>
            </w:r>
            <w:r>
              <w:rPr>
                <w:rFonts w:hint="eastAsia"/>
              </w:rPr>
              <w:t>日内。</w:t>
            </w:r>
          </w:p>
        </w:tc>
      </w:tr>
      <w:tr w14:paraId="0E69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064" w:type="dxa"/>
            <w:vAlign w:val="center"/>
          </w:tcPr>
          <w:p w14:paraId="2934EC5A">
            <w:pPr>
              <w:keepNext w:val="0"/>
              <w:keepLines w:val="0"/>
              <w:suppressLineNumbers w:val="0"/>
              <w:spacing w:before="0" w:beforeAutospacing="0" w:after="0" w:afterAutospacing="0" w:line="360" w:lineRule="auto"/>
              <w:ind w:left="0" w:right="0"/>
              <w:jc w:val="center"/>
              <w:rPr>
                <w:rFonts w:hint="default"/>
              </w:rPr>
            </w:pPr>
            <w:r>
              <w:rPr>
                <w:rFonts w:hint="eastAsia"/>
              </w:rPr>
              <w:t>2</w:t>
            </w:r>
          </w:p>
        </w:tc>
        <w:tc>
          <w:tcPr>
            <w:tcW w:w="1770" w:type="dxa"/>
            <w:vAlign w:val="center"/>
          </w:tcPr>
          <w:p w14:paraId="3509E2EA">
            <w:pPr>
              <w:keepNext w:val="0"/>
              <w:keepLines w:val="0"/>
              <w:suppressLineNumbers w:val="0"/>
              <w:spacing w:before="0" w:beforeAutospacing="0" w:after="0" w:afterAutospacing="0" w:line="360" w:lineRule="auto"/>
              <w:ind w:left="0" w:right="0"/>
              <w:jc w:val="center"/>
              <w:rPr>
                <w:rFonts w:hint="default"/>
              </w:rPr>
            </w:pPr>
            <w:r>
              <w:rPr>
                <w:rFonts w:hint="eastAsia"/>
              </w:rPr>
              <w:t>交付使用时间</w:t>
            </w:r>
          </w:p>
        </w:tc>
        <w:tc>
          <w:tcPr>
            <w:tcW w:w="6856" w:type="dxa"/>
            <w:vAlign w:val="center"/>
          </w:tcPr>
          <w:p w14:paraId="451A44EB">
            <w:pPr>
              <w:keepNext w:val="0"/>
              <w:keepLines w:val="0"/>
              <w:suppressLineNumbers w:val="0"/>
              <w:spacing w:before="0" w:beforeAutospacing="0" w:after="0" w:afterAutospacing="0" w:line="360" w:lineRule="auto"/>
              <w:ind w:left="0" w:right="0"/>
              <w:jc w:val="left"/>
              <w:rPr>
                <w:rFonts w:hint="default"/>
              </w:rPr>
            </w:pPr>
            <w:r>
              <w:rPr>
                <w:rFonts w:hint="eastAsia"/>
              </w:rPr>
              <w:t>自签订合同之日起</w:t>
            </w:r>
            <w:r>
              <w:rPr>
                <w:rFonts w:hint="eastAsia"/>
                <w:u w:val="single"/>
              </w:rPr>
              <w:t>90</w:t>
            </w:r>
            <w:r>
              <w:rPr>
                <w:rFonts w:hint="eastAsia"/>
              </w:rPr>
              <w:t>天内到货，并全部安装调试合格完毕</w:t>
            </w:r>
          </w:p>
        </w:tc>
      </w:tr>
      <w:tr w14:paraId="19E4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064" w:type="dxa"/>
            <w:vAlign w:val="center"/>
          </w:tcPr>
          <w:p w14:paraId="16EFE774">
            <w:pPr>
              <w:keepNext w:val="0"/>
              <w:keepLines w:val="0"/>
              <w:suppressLineNumbers w:val="0"/>
              <w:spacing w:before="0" w:beforeAutospacing="0" w:after="0" w:afterAutospacing="0" w:line="360" w:lineRule="auto"/>
              <w:ind w:left="0" w:right="0"/>
              <w:jc w:val="center"/>
              <w:rPr>
                <w:rFonts w:hint="default"/>
              </w:rPr>
            </w:pPr>
            <w:r>
              <w:rPr>
                <w:rFonts w:hint="eastAsia"/>
              </w:rPr>
              <w:t>3</w:t>
            </w:r>
          </w:p>
        </w:tc>
        <w:tc>
          <w:tcPr>
            <w:tcW w:w="1770" w:type="dxa"/>
            <w:vAlign w:val="center"/>
          </w:tcPr>
          <w:p w14:paraId="773095A6">
            <w:pPr>
              <w:keepNext w:val="0"/>
              <w:keepLines w:val="0"/>
              <w:suppressLineNumbers w:val="0"/>
              <w:spacing w:before="0" w:beforeAutospacing="0" w:after="0" w:afterAutospacing="0" w:line="360" w:lineRule="auto"/>
              <w:ind w:left="0" w:right="0"/>
              <w:jc w:val="center"/>
              <w:rPr>
                <w:rFonts w:hint="default"/>
              </w:rPr>
            </w:pPr>
            <w:r>
              <w:rPr>
                <w:rFonts w:hint="eastAsia"/>
              </w:rPr>
              <w:t>交付地点</w:t>
            </w:r>
          </w:p>
        </w:tc>
        <w:tc>
          <w:tcPr>
            <w:tcW w:w="6856" w:type="dxa"/>
            <w:vAlign w:val="center"/>
          </w:tcPr>
          <w:p w14:paraId="6FB0E6D8">
            <w:pPr>
              <w:keepNext w:val="0"/>
              <w:keepLines w:val="0"/>
              <w:suppressLineNumbers w:val="0"/>
              <w:spacing w:before="0" w:beforeAutospacing="0" w:after="0" w:afterAutospacing="0" w:line="360" w:lineRule="auto"/>
              <w:ind w:left="0" w:right="0"/>
              <w:jc w:val="left"/>
              <w:rPr>
                <w:rFonts w:hint="default"/>
              </w:rPr>
            </w:pPr>
            <w:r>
              <w:rPr>
                <w:rFonts w:hint="eastAsia"/>
              </w:rPr>
              <w:t>广西师范大学物理科学与技术学院采购人指定地点。</w:t>
            </w:r>
          </w:p>
        </w:tc>
      </w:tr>
      <w:tr w14:paraId="6382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2" w:hRule="atLeast"/>
        </w:trPr>
        <w:tc>
          <w:tcPr>
            <w:tcW w:w="1064" w:type="dxa"/>
            <w:vAlign w:val="center"/>
          </w:tcPr>
          <w:p w14:paraId="44169B25">
            <w:pPr>
              <w:keepNext w:val="0"/>
              <w:keepLines w:val="0"/>
              <w:suppressLineNumbers w:val="0"/>
              <w:spacing w:before="0" w:beforeAutospacing="0" w:after="0" w:afterAutospacing="0" w:line="360" w:lineRule="auto"/>
              <w:ind w:left="0" w:right="0"/>
              <w:jc w:val="center"/>
              <w:rPr>
                <w:rFonts w:hint="default"/>
              </w:rPr>
            </w:pPr>
            <w:r>
              <w:rPr>
                <w:rFonts w:hint="eastAsia"/>
              </w:rPr>
              <w:t>4</w:t>
            </w:r>
          </w:p>
        </w:tc>
        <w:tc>
          <w:tcPr>
            <w:tcW w:w="1770" w:type="dxa"/>
            <w:vAlign w:val="center"/>
          </w:tcPr>
          <w:p w14:paraId="30B57380">
            <w:pPr>
              <w:keepNext w:val="0"/>
              <w:keepLines w:val="0"/>
              <w:suppressLineNumbers w:val="0"/>
              <w:spacing w:before="0" w:beforeAutospacing="0" w:after="0" w:afterAutospacing="0" w:line="360" w:lineRule="exact"/>
              <w:ind w:left="0" w:right="0"/>
              <w:jc w:val="center"/>
              <w:rPr>
                <w:rFonts w:hint="default"/>
              </w:rPr>
            </w:pPr>
            <w:r>
              <w:rPr>
                <w:rFonts w:hint="eastAsia" w:ascii="宋体" w:hAnsi="宋体" w:cs="宋体"/>
                <w:szCs w:val="21"/>
              </w:rPr>
              <w:t>质保期</w:t>
            </w:r>
          </w:p>
        </w:tc>
        <w:tc>
          <w:tcPr>
            <w:tcW w:w="6856" w:type="dxa"/>
            <w:vAlign w:val="center"/>
          </w:tcPr>
          <w:p w14:paraId="7358C355">
            <w:pPr>
              <w:keepNext w:val="0"/>
              <w:keepLines w:val="0"/>
              <w:suppressLineNumbers w:val="0"/>
              <w:spacing w:before="0" w:beforeAutospacing="0" w:after="0" w:afterAutospacing="0" w:line="360" w:lineRule="exact"/>
              <w:ind w:left="0" w:right="0"/>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保修期：按国家有关产品“三包”规定执行“三包”，保修期不得少于</w:t>
            </w:r>
            <w:r>
              <w:rPr>
                <w:rFonts w:hint="eastAsia" w:ascii="宋体" w:hAnsi="宋体" w:cs="宋体"/>
                <w:szCs w:val="21"/>
                <w:u w:val="single"/>
              </w:rPr>
              <w:t>1</w:t>
            </w:r>
            <w:r>
              <w:rPr>
                <w:rFonts w:hint="eastAsia" w:ascii="宋体" w:hAnsi="宋体" w:cs="宋体"/>
                <w:szCs w:val="21"/>
              </w:rPr>
              <w:t xml:space="preserve">年（保修期从设备验收合格之日起计算，项目要求及技术需求中规定的，按规定执行）。保修期内负责上门维修（相关的维修费和元器件费包含在报价中，采购人不再另行支付）、负责更换零部件，并提供终身维修服务。 </w:t>
            </w:r>
          </w:p>
          <w:p w14:paraId="5A8D4A5B">
            <w:pPr>
              <w:keepNext w:val="0"/>
              <w:keepLines w:val="0"/>
              <w:suppressLineNumbers w:val="0"/>
              <w:spacing w:before="0" w:beforeAutospacing="0" w:after="0" w:afterAutospacing="0" w:line="360" w:lineRule="exact"/>
              <w:ind w:left="0" w:right="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 xml:space="preserve">负责免费送货上门，按采购人要求安装调试，负责技术培训，直至操作人员熟练操作产品的各项功能。 </w:t>
            </w:r>
          </w:p>
          <w:p w14:paraId="00F9F926">
            <w:pPr>
              <w:keepNext w:val="0"/>
              <w:keepLines w:val="0"/>
              <w:suppressLineNumbers w:val="0"/>
              <w:spacing w:before="0" w:beforeAutospacing="0" w:after="0" w:afterAutospacing="0" w:line="360" w:lineRule="exact"/>
              <w:ind w:left="0" w:right="0"/>
              <w:rPr>
                <w:rFonts w:hint="default"/>
              </w:rPr>
            </w:pPr>
            <w:r>
              <w:rPr>
                <w:rFonts w:hint="eastAsia" w:ascii="宋体" w:hAnsi="宋体" w:cs="宋体"/>
                <w:szCs w:val="21"/>
                <w:lang w:val="en-US" w:eastAsia="zh-CN"/>
              </w:rPr>
              <w:t>3.</w:t>
            </w:r>
            <w:r>
              <w:rPr>
                <w:rFonts w:hint="eastAsia" w:ascii="宋体" w:hAnsi="宋体" w:cs="宋体"/>
                <w:szCs w:val="21"/>
              </w:rPr>
              <w:t xml:space="preserve">保修期内接到报障电话在承诺时间内派工程技术人员上门维修解决问题，如果需要更换配件的，要求更换的配件应跟被更换的品牌、类型相一致或者是同类同档次的替代品，后者需征得采购人管理人员同意；若产品自带软件的，则须提供保修期内负责升级服务。其余按厂家承诺执行。 </w:t>
            </w:r>
          </w:p>
        </w:tc>
      </w:tr>
      <w:tr w14:paraId="7E6C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A01F719">
            <w:pPr>
              <w:keepNext w:val="0"/>
              <w:keepLines w:val="0"/>
              <w:suppressLineNumbers w:val="0"/>
              <w:spacing w:before="0" w:beforeAutospacing="0" w:after="0" w:afterAutospacing="0" w:line="360" w:lineRule="auto"/>
              <w:ind w:left="0" w:right="0"/>
              <w:jc w:val="center"/>
              <w:rPr>
                <w:rFonts w:hint="default"/>
              </w:rPr>
            </w:pPr>
            <w:r>
              <w:rPr>
                <w:rFonts w:hint="eastAsia"/>
              </w:rPr>
              <w:t>5</w:t>
            </w:r>
          </w:p>
        </w:tc>
        <w:tc>
          <w:tcPr>
            <w:tcW w:w="1770" w:type="dxa"/>
            <w:vAlign w:val="center"/>
          </w:tcPr>
          <w:p w14:paraId="631BDACD">
            <w:pPr>
              <w:keepNext w:val="0"/>
              <w:keepLines w:val="0"/>
              <w:suppressLineNumbers w:val="0"/>
              <w:spacing w:before="0" w:beforeAutospacing="0" w:after="0" w:afterAutospacing="0" w:line="360" w:lineRule="exact"/>
              <w:ind w:left="0" w:right="0"/>
              <w:jc w:val="center"/>
              <w:rPr>
                <w:rFonts w:hint="default"/>
              </w:rPr>
            </w:pPr>
            <w:r>
              <w:rPr>
                <w:rFonts w:hint="eastAsia" w:ascii="宋体" w:hAnsi="宋体" w:cs="宋体"/>
                <w:szCs w:val="21"/>
              </w:rPr>
              <w:t>售后服务要求</w:t>
            </w:r>
          </w:p>
        </w:tc>
        <w:tc>
          <w:tcPr>
            <w:tcW w:w="6856" w:type="dxa"/>
            <w:vAlign w:val="center"/>
          </w:tcPr>
          <w:p w14:paraId="494EE6C3">
            <w:pPr>
              <w:keepNext w:val="0"/>
              <w:keepLines w:val="0"/>
              <w:suppressLineNumbers w:val="0"/>
              <w:spacing w:before="0" w:beforeAutospacing="0" w:after="0" w:afterAutospacing="0" w:line="36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1.售后服务费用包含在报价中，售后服务内容如下：</w:t>
            </w:r>
          </w:p>
          <w:p w14:paraId="69CF8DD3">
            <w:pPr>
              <w:keepNext w:val="0"/>
              <w:keepLines w:val="0"/>
              <w:suppressLineNumbers w:val="0"/>
              <w:spacing w:before="0" w:beforeAutospacing="0" w:after="0" w:afterAutospacing="0" w:line="36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1）质保期内向采购人提供技术支持，确保采购人对设备的成功应用。根据采购人需要，技术支持工程师可进行现场服务；定期提供设备维护服务。</w:t>
            </w:r>
          </w:p>
          <w:p w14:paraId="513285C3">
            <w:pPr>
              <w:keepNext w:val="0"/>
              <w:keepLines w:val="0"/>
              <w:suppressLineNumbers w:val="0"/>
              <w:spacing w:before="0" w:beforeAutospacing="0" w:after="0" w:afterAutospacing="0" w:line="36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2）响应时间：提供7*24小时服务，提供电话技术指导和咨询服务，设备出现问题时,中标人接到用户电话通知后，2小时响应，12小时内电话做出维修方案，如48小时内无法通过电话解决问题，派维修人在接到报修报告后72小时内到达用户现场予以维修，直到解除故障为止。</w:t>
            </w:r>
          </w:p>
          <w:p w14:paraId="04C95EBB">
            <w:pPr>
              <w:keepNext w:val="0"/>
              <w:keepLines w:val="0"/>
              <w:suppressLineNumbers w:val="0"/>
              <w:spacing w:before="0" w:beforeAutospacing="0" w:after="0" w:afterAutospacing="0" w:line="36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2.质保期过后的服务要求：</w:t>
            </w:r>
          </w:p>
          <w:p w14:paraId="0D930870">
            <w:pPr>
              <w:keepNext w:val="0"/>
              <w:keepLines w:val="0"/>
              <w:suppressLineNumbers w:val="0"/>
              <w:spacing w:before="0" w:beforeAutospacing="0" w:after="0" w:afterAutospacing="0" w:line="36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1）电话咨询：产品质量保证期过后，中标供应商应当为采购人提供技术援助电话，解答采购人在使用中遇到的问题，及时为采购人提出解决问题的建议，并不予收费。</w:t>
            </w:r>
          </w:p>
          <w:p w14:paraId="7CD0A894">
            <w:pPr>
              <w:keepNext w:val="0"/>
              <w:keepLines w:val="0"/>
              <w:suppressLineNumbers w:val="0"/>
              <w:spacing w:before="0" w:beforeAutospacing="0" w:after="0" w:afterAutospacing="0" w:line="36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2）提供保修期外零配件优惠供应方案。质量保证期过后，采购人需要继续由原中标供应商提供售后服务的，该中标供应商应以优惠价格提供售后服务，常用的、容易损坏的备品备件及易损件的优惠价格清单须在投标文件中列出。</w:t>
            </w:r>
          </w:p>
          <w:p w14:paraId="40291FE7">
            <w:pPr>
              <w:keepNext w:val="0"/>
              <w:keepLines w:val="0"/>
              <w:suppressLineNumbers w:val="0"/>
              <w:spacing w:before="0" w:beforeAutospacing="0" w:after="0" w:afterAutospacing="0" w:line="360" w:lineRule="exact"/>
              <w:ind w:left="0" w:right="0"/>
              <w:rPr>
                <w:rFonts w:hint="default"/>
              </w:rPr>
            </w:pPr>
            <w:r>
              <w:rPr>
                <w:rFonts w:hint="eastAsia" w:ascii="宋体" w:hAnsi="宋体" w:eastAsia="宋体" w:cs="宋体"/>
                <w:sz w:val="21"/>
                <w:szCs w:val="21"/>
                <w:highlight w:val="none"/>
              </w:rPr>
              <w:t>3.提供维护手册、维修手册、备件清单。</w:t>
            </w:r>
          </w:p>
        </w:tc>
      </w:tr>
      <w:tr w14:paraId="1BB8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3ABE945">
            <w:pPr>
              <w:keepNext w:val="0"/>
              <w:keepLines w:val="0"/>
              <w:suppressLineNumbers w:val="0"/>
              <w:spacing w:before="0" w:beforeAutospacing="0" w:after="0" w:afterAutospacing="0" w:line="360" w:lineRule="auto"/>
              <w:ind w:left="0" w:right="0"/>
              <w:jc w:val="center"/>
              <w:rPr>
                <w:rFonts w:hint="default"/>
              </w:rPr>
            </w:pPr>
            <w:r>
              <w:rPr>
                <w:rFonts w:hint="eastAsia"/>
              </w:rPr>
              <w:t>6</w:t>
            </w:r>
          </w:p>
        </w:tc>
        <w:tc>
          <w:tcPr>
            <w:tcW w:w="1770" w:type="dxa"/>
            <w:vAlign w:val="center"/>
          </w:tcPr>
          <w:p w14:paraId="30095FB1">
            <w:pPr>
              <w:keepNext w:val="0"/>
              <w:keepLines w:val="0"/>
              <w:suppressLineNumbers w:val="0"/>
              <w:spacing w:before="0" w:beforeAutospacing="0" w:after="0" w:afterAutospacing="0" w:line="360" w:lineRule="exact"/>
              <w:ind w:left="0" w:right="0"/>
              <w:jc w:val="center"/>
              <w:rPr>
                <w:rFonts w:hint="default"/>
              </w:rPr>
            </w:pPr>
            <w:r>
              <w:rPr>
                <w:rFonts w:hint="eastAsia" w:ascii="宋体" w:hAnsi="宋体" w:cs="宋体"/>
                <w:szCs w:val="21"/>
              </w:rPr>
              <w:t>投标报价</w:t>
            </w:r>
          </w:p>
        </w:tc>
        <w:tc>
          <w:tcPr>
            <w:tcW w:w="6856" w:type="dxa"/>
            <w:vAlign w:val="center"/>
          </w:tcPr>
          <w:p w14:paraId="605ADDC8">
            <w:pPr>
              <w:keepNext w:val="0"/>
              <w:keepLines w:val="0"/>
              <w:suppressLineNumbers w:val="0"/>
              <w:spacing w:before="0" w:beforeAutospacing="0" w:after="0" w:afterAutospacing="0" w:line="360" w:lineRule="exact"/>
              <w:ind w:left="0" w:right="0"/>
              <w:rPr>
                <w:rFonts w:hint="default"/>
              </w:rPr>
            </w:pPr>
            <w:r>
              <w:rPr>
                <w:rFonts w:hint="eastAsia" w:ascii="宋体" w:hAnsi="宋体" w:cs="宋体"/>
                <w:szCs w:val="21"/>
              </w:rPr>
              <w:t>投标报价包含货物、货物标准附件、备品备件、专用工具、设备安装辅材、施工辅材、包装、运输、装卸、保险、货到就位的各种费用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明示或暗示的所有责任、义务和一般风险等一切费用。</w:t>
            </w:r>
          </w:p>
        </w:tc>
      </w:tr>
      <w:tr w14:paraId="03FD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AC0E389">
            <w:pPr>
              <w:keepNext w:val="0"/>
              <w:keepLines w:val="0"/>
              <w:suppressLineNumbers w:val="0"/>
              <w:spacing w:before="0" w:beforeAutospacing="0" w:after="0" w:afterAutospacing="0" w:line="360" w:lineRule="auto"/>
              <w:ind w:left="0" w:right="0"/>
              <w:jc w:val="center"/>
              <w:rPr>
                <w:rFonts w:hint="default"/>
              </w:rPr>
            </w:pPr>
            <w:r>
              <w:rPr>
                <w:rFonts w:hint="eastAsia"/>
              </w:rPr>
              <w:t>7</w:t>
            </w:r>
          </w:p>
        </w:tc>
        <w:tc>
          <w:tcPr>
            <w:tcW w:w="1770" w:type="dxa"/>
            <w:vAlign w:val="center"/>
          </w:tcPr>
          <w:p w14:paraId="543279DB">
            <w:pPr>
              <w:keepNext w:val="0"/>
              <w:keepLines w:val="0"/>
              <w:suppressLineNumbers w:val="0"/>
              <w:spacing w:before="0" w:beforeAutospacing="0" w:after="0" w:afterAutospacing="0" w:line="360" w:lineRule="exact"/>
              <w:ind w:left="0" w:right="0"/>
              <w:jc w:val="center"/>
              <w:rPr>
                <w:rFonts w:hint="default"/>
              </w:rPr>
            </w:pPr>
            <w:r>
              <w:rPr>
                <w:rFonts w:hint="eastAsia" w:ascii="宋体" w:hAnsi="宋体" w:cs="宋体"/>
                <w:szCs w:val="21"/>
              </w:rPr>
              <w:t>付款方式</w:t>
            </w:r>
          </w:p>
        </w:tc>
        <w:tc>
          <w:tcPr>
            <w:tcW w:w="6856" w:type="dxa"/>
          </w:tcPr>
          <w:p w14:paraId="100ECC21">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1.合同签订时，中标人应按合同金额的5%（中标人为中小微企业时为中标金额的2%）向采购人交纳履约保证金，履约保证金待履行完合同约定的权利义务事项后（中标人承诺质保期满）且不存在争议的，采购人在5个工作日内无息返还履约保证金。</w:t>
            </w:r>
          </w:p>
          <w:p w14:paraId="5D9BA53D">
            <w:pPr>
              <w:keepNext w:val="0"/>
              <w:keepLines w:val="0"/>
              <w:suppressLineNumbers w:val="0"/>
              <w:spacing w:before="0" w:beforeAutospacing="0" w:after="0" w:afterAutospacing="0" w:line="360" w:lineRule="exact"/>
              <w:ind w:left="0" w:right="0"/>
              <w:rPr>
                <w:rFonts w:hint="eastAsia" w:ascii="宋体" w:hAnsi="宋体" w:eastAsia="宋体" w:cs="宋体"/>
                <w:szCs w:val="21"/>
                <w:lang w:eastAsia="zh-CN"/>
              </w:rPr>
            </w:pPr>
            <w:r>
              <w:rPr>
                <w:rFonts w:hint="eastAsia" w:ascii="宋体" w:hAnsi="宋体" w:cs="宋体"/>
                <w:szCs w:val="21"/>
              </w:rPr>
              <w:t>2.在交货验收合格、培训指导完成及设备正常使用后，中标人在3日内开具增值税专用发票给采购人，采购人收到增值税专用发票后30个工作日内支付100％的合同金额（无息）</w:t>
            </w:r>
            <w:r>
              <w:rPr>
                <w:rFonts w:hint="eastAsia" w:ascii="宋体" w:hAnsi="宋体" w:cs="宋体"/>
                <w:szCs w:val="21"/>
                <w:lang w:eastAsia="zh-CN"/>
              </w:rPr>
              <w:t>。</w:t>
            </w:r>
          </w:p>
        </w:tc>
      </w:tr>
      <w:tr w14:paraId="6C31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003A774F">
            <w:pPr>
              <w:keepNext w:val="0"/>
              <w:keepLines w:val="0"/>
              <w:suppressLineNumbers w:val="0"/>
              <w:spacing w:before="0" w:beforeAutospacing="0" w:after="0" w:afterAutospacing="0" w:line="360" w:lineRule="auto"/>
              <w:ind w:left="0" w:right="0"/>
              <w:jc w:val="center"/>
              <w:rPr>
                <w:rFonts w:hint="default"/>
              </w:rPr>
            </w:pPr>
            <w:r>
              <w:rPr>
                <w:rFonts w:hint="eastAsia"/>
              </w:rPr>
              <w:t>8</w:t>
            </w:r>
          </w:p>
        </w:tc>
        <w:tc>
          <w:tcPr>
            <w:tcW w:w="1770" w:type="dxa"/>
            <w:vAlign w:val="center"/>
          </w:tcPr>
          <w:p w14:paraId="49827111">
            <w:pPr>
              <w:keepNext w:val="0"/>
              <w:keepLines w:val="0"/>
              <w:suppressLineNumbers w:val="0"/>
              <w:spacing w:before="0" w:beforeAutospacing="0" w:after="0" w:afterAutospacing="0" w:line="360" w:lineRule="exact"/>
              <w:ind w:left="0" w:right="0"/>
              <w:jc w:val="center"/>
              <w:rPr>
                <w:rFonts w:hint="default"/>
              </w:rPr>
            </w:pPr>
            <w:r>
              <w:rPr>
                <w:rFonts w:hint="eastAsia" w:ascii="宋体" w:hAnsi="宋体" w:cs="宋体"/>
                <w:szCs w:val="21"/>
              </w:rPr>
              <w:t>履约保证金</w:t>
            </w:r>
          </w:p>
        </w:tc>
        <w:tc>
          <w:tcPr>
            <w:tcW w:w="6856" w:type="dxa"/>
            <w:vAlign w:val="center"/>
          </w:tcPr>
          <w:p w14:paraId="74F1D82D">
            <w:pPr>
              <w:keepNext w:val="0"/>
              <w:keepLines w:val="0"/>
              <w:suppressLineNumbers w:val="0"/>
              <w:spacing w:before="0" w:beforeAutospacing="0" w:after="0" w:afterAutospacing="0" w:line="360" w:lineRule="exact"/>
              <w:ind w:left="0" w:right="0"/>
              <w:rPr>
                <w:rFonts w:hint="default"/>
              </w:rPr>
            </w:pPr>
            <w:r>
              <w:rPr>
                <w:rFonts w:hint="eastAsia" w:ascii="宋体" w:hAnsi="宋体" w:cs="宋体"/>
                <w:szCs w:val="21"/>
              </w:rPr>
              <w:t>中标人在签订合同之前向采购人以银行转账或电汇等非现金方式一次性缴纳中标金额的5%（如为中小企业，按中标金额的2%）作为履约保证金。</w:t>
            </w:r>
          </w:p>
        </w:tc>
      </w:tr>
      <w:tr w14:paraId="284B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A6DCF2F">
            <w:pPr>
              <w:keepNext w:val="0"/>
              <w:keepLines w:val="0"/>
              <w:suppressLineNumbers w:val="0"/>
              <w:spacing w:before="0" w:beforeAutospacing="0" w:after="0" w:afterAutospacing="0" w:line="360" w:lineRule="auto"/>
              <w:ind w:left="0" w:right="0"/>
              <w:jc w:val="center"/>
              <w:rPr>
                <w:rFonts w:hint="default"/>
              </w:rPr>
            </w:pPr>
            <w:r>
              <w:rPr>
                <w:rFonts w:hint="eastAsia"/>
              </w:rPr>
              <w:t>9</w:t>
            </w:r>
          </w:p>
        </w:tc>
        <w:tc>
          <w:tcPr>
            <w:tcW w:w="1770" w:type="dxa"/>
            <w:vAlign w:val="center"/>
          </w:tcPr>
          <w:p w14:paraId="570C5936">
            <w:pPr>
              <w:keepNext w:val="0"/>
              <w:keepLines w:val="0"/>
              <w:suppressLineNumbers w:val="0"/>
              <w:spacing w:before="0" w:beforeAutospacing="0" w:after="0" w:afterAutospacing="0" w:line="360" w:lineRule="exact"/>
              <w:ind w:left="0" w:right="0"/>
              <w:jc w:val="center"/>
              <w:rPr>
                <w:rFonts w:hint="default"/>
              </w:rPr>
            </w:pPr>
            <w:r>
              <w:rPr>
                <w:rFonts w:hint="eastAsia" w:ascii="宋体" w:hAnsi="宋体" w:cs="宋体"/>
                <w:szCs w:val="21"/>
              </w:rPr>
              <w:t>验收规范、验收方法及方案</w:t>
            </w:r>
          </w:p>
        </w:tc>
        <w:tc>
          <w:tcPr>
            <w:tcW w:w="6856" w:type="dxa"/>
          </w:tcPr>
          <w:p w14:paraId="23037213">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1.项目完工后5个工作日内中标人提出验收申请，接到验收申请的5个工作日内采购人组织验收，验收所发生费用由中标人承担。</w:t>
            </w:r>
          </w:p>
          <w:p w14:paraId="7C1A7097">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2.中标人提供不符合公告规定的、采购文件、投标文件承诺的或本合同规定的货物，采购人有权拒绝接受。</w:t>
            </w:r>
          </w:p>
          <w:p w14:paraId="53C6E21C">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3.中标人应将所提供货物的装箱清单、用户手册、原厂保修卡、随机资料、工具和备品、备件等交付给采购人，如有缺失应在采购人要求的期限内及时补齐，否则视为逾期交货。</w:t>
            </w:r>
          </w:p>
          <w:p w14:paraId="3059EDA7">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4.采购人应当在到货并安装、调试完后进行验收。验收合格后由双方签署货物验收单并加盖采购单位公章，双方各执一份。</w:t>
            </w:r>
          </w:p>
          <w:p w14:paraId="42F35C3B">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5.若采购人委托第三方组织的验收项目，其验收时间以该项目验收方案确定的验收时间为准，验收结果以该项目验收报告结论为准。在验收过程中发现中标人有违约问题，可暂缓资金结算，待违约问题解决后，方可办理资金结算事宜，在此期间，采购人不承担逾期付款责任。</w:t>
            </w:r>
          </w:p>
          <w:p w14:paraId="07CA0448">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6.采购人对验收有异议的，在验收后以书面形式向中标人提出，中标人应自收到采购人书面异议后5日内及时予以解决，中标人不予答复或未予以实质解决的，视为认可采购人异议及处置意见。</w:t>
            </w:r>
          </w:p>
          <w:p w14:paraId="74209FB0">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7.验收过程中，所产生的一切费用均由中标人承担。报价时应考虑相关费用。</w:t>
            </w:r>
          </w:p>
          <w:p w14:paraId="279FFD29">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8.产品实行强制标准认证制度、生产许可证制度、销售或经营许可证制度、注册证制度的，中标人均应提供相关有效的证书复印件。</w:t>
            </w:r>
          </w:p>
          <w:p w14:paraId="19E4FA2B">
            <w:pPr>
              <w:keepNext w:val="0"/>
              <w:keepLines w:val="0"/>
              <w:suppressLineNumbers w:val="0"/>
              <w:spacing w:before="0" w:beforeAutospacing="0" w:after="0" w:afterAutospacing="0" w:line="360" w:lineRule="exact"/>
              <w:ind w:left="0" w:right="0"/>
              <w:rPr>
                <w:rFonts w:hint="default"/>
              </w:rPr>
            </w:pPr>
            <w:r>
              <w:rPr>
                <w:rFonts w:hint="eastAsia" w:ascii="宋体" w:hAnsi="宋体" w:cs="宋体"/>
                <w:szCs w:val="21"/>
              </w:rPr>
              <w:t>9.其他未尽事宜应严格按照《关于印发广西壮族自治区政府采购项目履约验收管理办法的通知》[桂财采〔2015〕22号]以及《财政部关于进一步加强政府采购需求和履约验收管理的指导意见》[财库〔2016〕205号]规定执行。</w:t>
            </w:r>
          </w:p>
        </w:tc>
      </w:tr>
      <w:tr w14:paraId="5124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33B0A2A8">
            <w:pPr>
              <w:keepNext w:val="0"/>
              <w:keepLines w:val="0"/>
              <w:suppressLineNumbers w:val="0"/>
              <w:spacing w:before="0" w:beforeAutospacing="0" w:after="0" w:afterAutospacing="0" w:line="360" w:lineRule="auto"/>
              <w:ind w:left="0" w:right="0"/>
              <w:jc w:val="center"/>
              <w:rPr>
                <w:rFonts w:hint="default"/>
              </w:rPr>
            </w:pPr>
            <w:r>
              <w:rPr>
                <w:rFonts w:hint="eastAsia"/>
              </w:rPr>
              <w:t>10</w:t>
            </w:r>
          </w:p>
        </w:tc>
        <w:tc>
          <w:tcPr>
            <w:tcW w:w="1770" w:type="dxa"/>
            <w:vAlign w:val="center"/>
          </w:tcPr>
          <w:p w14:paraId="622CFD71">
            <w:pPr>
              <w:keepNext w:val="0"/>
              <w:keepLines w:val="0"/>
              <w:suppressLineNumbers w:val="0"/>
              <w:spacing w:before="0" w:beforeAutospacing="0" w:after="0" w:afterAutospacing="0" w:line="360" w:lineRule="exact"/>
              <w:ind w:left="0" w:right="0"/>
              <w:jc w:val="center"/>
              <w:rPr>
                <w:rFonts w:hint="default"/>
              </w:rPr>
            </w:pPr>
            <w:r>
              <w:rPr>
                <w:rFonts w:hint="eastAsia" w:ascii="宋体" w:hAnsi="宋体" w:cs="宋体"/>
                <w:szCs w:val="21"/>
              </w:rPr>
              <w:t>其它要求</w:t>
            </w:r>
          </w:p>
        </w:tc>
        <w:tc>
          <w:tcPr>
            <w:tcW w:w="6856" w:type="dxa"/>
          </w:tcPr>
          <w:p w14:paraId="18A0E269">
            <w:pPr>
              <w:keepNext w:val="0"/>
              <w:keepLines w:val="0"/>
              <w:suppressLineNumbers w:val="0"/>
              <w:spacing w:before="0" w:beforeAutospacing="0" w:after="0" w:afterAutospacing="0" w:line="360" w:lineRule="exact"/>
              <w:ind w:left="0" w:right="0"/>
              <w:rPr>
                <w:rFonts w:hint="default" w:ascii="宋体" w:hAnsi="宋体" w:cs="宋体"/>
                <w:szCs w:val="21"/>
              </w:rPr>
            </w:pPr>
            <w:r>
              <w:rPr>
                <w:rFonts w:hint="eastAsia" w:ascii="宋体" w:hAnsi="宋体" w:cs="宋体"/>
                <w:szCs w:val="21"/>
              </w:rPr>
              <w:t>1.中标人负责全部产品的安装调试后直接交付运行。在保修期内，中标人须保证采购人能够合法应用该器械/服务。在此过程中，采购人将提供一切必要支持。若可能出现的后续证件、手续，中标人必须提供办理的流程及方法。</w:t>
            </w:r>
          </w:p>
          <w:p w14:paraId="14D78C1B">
            <w:pPr>
              <w:keepNext w:val="0"/>
              <w:keepLines w:val="0"/>
              <w:suppressLineNumbers w:val="0"/>
              <w:spacing w:before="0" w:beforeAutospacing="0" w:after="0" w:afterAutospacing="0" w:line="360" w:lineRule="exact"/>
              <w:ind w:left="0" w:right="0"/>
              <w:rPr>
                <w:rFonts w:hint="default"/>
              </w:rPr>
            </w:pPr>
            <w:r>
              <w:rPr>
                <w:rFonts w:hint="eastAsia" w:ascii="宋体" w:hAnsi="宋体" w:cs="宋体"/>
                <w:szCs w:val="21"/>
              </w:rPr>
              <w:t>2.进口产品说明：本标项采购货物不接受进口产品（即通过中国海关报关验放进入中国境内且产自关境外的产品）参与投标，如有进口产品参与投标的，其投标文件按无效处理。</w:t>
            </w:r>
          </w:p>
        </w:tc>
      </w:tr>
      <w:tr w14:paraId="60C4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448F7966">
            <w:pPr>
              <w:keepNext w:val="0"/>
              <w:keepLines w:val="0"/>
              <w:suppressLineNumbers w:val="0"/>
              <w:spacing w:before="0" w:beforeAutospacing="0" w:after="0" w:afterAutospacing="0" w:line="360" w:lineRule="auto"/>
              <w:ind w:left="0" w:right="0"/>
              <w:jc w:val="center"/>
              <w:rPr>
                <w:rFonts w:hint="eastAsia"/>
              </w:rPr>
            </w:pPr>
            <w:r>
              <w:rPr>
                <w:rFonts w:hint="eastAsia" w:ascii="宋体" w:hAnsi="宋体" w:eastAsia="宋体" w:cs="宋体"/>
                <w:sz w:val="21"/>
                <w:szCs w:val="21"/>
                <w:lang w:val="en-US" w:eastAsia="zh-CN"/>
              </w:rPr>
              <w:t>11</w:t>
            </w:r>
          </w:p>
        </w:tc>
        <w:tc>
          <w:tcPr>
            <w:tcW w:w="1770" w:type="dxa"/>
            <w:vAlign w:val="center"/>
          </w:tcPr>
          <w:p w14:paraId="0DCC1333">
            <w:pPr>
              <w:keepNext w:val="0"/>
              <w:keepLines w:val="0"/>
              <w:suppressLineNumbers w:val="0"/>
              <w:spacing w:before="0" w:beforeAutospacing="0" w:after="0" w:afterAutospacing="0" w:line="360" w:lineRule="exact"/>
              <w:ind w:left="0" w:right="0"/>
              <w:jc w:val="center"/>
              <w:rPr>
                <w:rFonts w:hint="eastAsia" w:ascii="宋体" w:hAnsi="宋体" w:cs="宋体"/>
                <w:szCs w:val="21"/>
              </w:rPr>
            </w:pPr>
            <w:r>
              <w:rPr>
                <w:rFonts w:hint="eastAsia" w:ascii="宋体" w:hAnsi="宋体" w:eastAsia="宋体" w:cs="宋体"/>
                <w:sz w:val="21"/>
                <w:szCs w:val="21"/>
                <w:lang w:val="en-US" w:eastAsia="zh-CN"/>
              </w:rPr>
              <w:t>核心产品</w:t>
            </w:r>
          </w:p>
        </w:tc>
        <w:tc>
          <w:tcPr>
            <w:tcW w:w="6856" w:type="dxa"/>
            <w:vAlign w:val="top"/>
          </w:tcPr>
          <w:p w14:paraId="432CC0F8">
            <w:pPr>
              <w:keepNext w:val="0"/>
              <w:keepLines w:val="0"/>
              <w:suppressLineNumbers w:val="0"/>
              <w:spacing w:before="0" w:beforeAutospacing="0" w:after="0" w:afterAutospacing="0" w:line="36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本分标的核心产品为</w:t>
            </w:r>
            <w:r>
              <w:rPr>
                <w:rFonts w:hint="eastAsia" w:ascii="宋体" w:hAnsi="宋体" w:eastAsia="宋体" w:cs="宋体"/>
                <w:sz w:val="21"/>
                <w:szCs w:val="21"/>
                <w:highlight w:val="none"/>
                <w:lang w:val="en-US" w:eastAsia="zh-CN"/>
              </w:rPr>
              <w:t>第15项产品：</w:t>
            </w:r>
            <w:r>
              <w:rPr>
                <w:rFonts w:hint="eastAsia" w:ascii="宋体" w:hAnsi="宋体" w:eastAsia="宋体" w:cs="宋体"/>
                <w:b/>
                <w:bCs/>
                <w:sz w:val="21"/>
                <w:szCs w:val="21"/>
                <w:highlight w:val="none"/>
              </w:rPr>
              <w:t>脉冲发生器</w:t>
            </w:r>
            <w:r>
              <w:rPr>
                <w:rFonts w:hint="eastAsia" w:ascii="宋体" w:hAnsi="宋体" w:eastAsia="宋体" w:cs="宋体"/>
                <w:sz w:val="21"/>
                <w:szCs w:val="21"/>
                <w:highlight w:val="none"/>
              </w:rPr>
              <w:t>。</w:t>
            </w:r>
          </w:p>
          <w:p w14:paraId="50DACC6E">
            <w:pPr>
              <w:keepNext w:val="0"/>
              <w:keepLines w:val="0"/>
              <w:suppressLineNumbers w:val="0"/>
              <w:spacing w:before="0" w:beforeAutospacing="0" w:after="0" w:afterAutospacing="0" w:line="360" w:lineRule="exact"/>
              <w:ind w:left="0" w:right="0"/>
              <w:rPr>
                <w:rFonts w:hint="eastAsia" w:ascii="宋体" w:hAnsi="宋体" w:cs="宋体"/>
                <w:szCs w:val="21"/>
              </w:rPr>
            </w:pPr>
            <w:r>
              <w:rPr>
                <w:rFonts w:hint="eastAsia" w:ascii="宋体" w:hAnsi="宋体" w:eastAsia="宋体" w:cs="宋体"/>
                <w:sz w:val="21"/>
                <w:szCs w:val="21"/>
              </w:rPr>
              <w:t>提供相同品牌产品且通过资格审查、符合性审查的不同投标人参加同一合同项下投标的，按一家投标人计算，评审后得分最高的同品牌投标人获得中标人推荐资格；核心产品评审得分相同的，由采购人或者采购人委托评标委员会按照招标文件规定的方式确定一个投标人获得中标人推荐资格，招标文件未规定的采取随机抽取方式确定，其他同品牌投标人不作为中标候选人。</w:t>
            </w:r>
          </w:p>
        </w:tc>
      </w:tr>
    </w:tbl>
    <w:p w14:paraId="4BF5E411">
      <w:pPr>
        <w:pStyle w:val="17"/>
        <w:rPr>
          <w:b/>
          <w:bCs/>
          <w:sz w:val="24"/>
        </w:rPr>
      </w:pPr>
    </w:p>
    <w:p w14:paraId="23D88120">
      <w:pPr>
        <w:pStyle w:val="17"/>
        <w:rPr>
          <w:b/>
          <w:bCs/>
          <w:sz w:val="24"/>
        </w:rPr>
      </w:pPr>
    </w:p>
    <w:p w14:paraId="1D1D0E5A">
      <w:pPr>
        <w:spacing w:line="428" w:lineRule="exact"/>
        <w:ind w:left="119"/>
        <w:rPr>
          <w:rFonts w:ascii="Arial Unicode MS" w:hAnsi="Arial Unicode MS" w:eastAsia="Arial Unicode MS" w:cs="Arial Unicode MS"/>
          <w:sz w:val="32"/>
          <w:szCs w:val="32"/>
        </w:rPr>
      </w:pPr>
      <w:r>
        <w:rPr>
          <w:rFonts w:hint="eastAsia"/>
          <w:b/>
          <w:sz w:val="36"/>
          <w:szCs w:val="20"/>
        </w:rPr>
        <w:br w:type="page"/>
      </w:r>
      <w:r>
        <w:rPr>
          <w:rFonts w:hint="eastAsia" w:ascii="黑体" w:hAnsi="黑体" w:eastAsia="黑体" w:cs="黑体"/>
          <w:sz w:val="32"/>
          <w:szCs w:val="32"/>
        </w:rPr>
        <w:t>附件1：</w:t>
      </w:r>
    </w:p>
    <w:p w14:paraId="36616FDF">
      <w:pPr>
        <w:wordWrap w:val="0"/>
        <w:spacing w:line="360" w:lineRule="auto"/>
        <w:ind w:left="1871"/>
        <w:rPr>
          <w:rFonts w:ascii="宋体" w:hAnsi="宋体" w:cs="宋体"/>
          <w:sz w:val="40"/>
          <w:szCs w:val="40"/>
        </w:rPr>
      </w:pPr>
      <w:r>
        <w:rPr>
          <w:rFonts w:hint="eastAsia" w:ascii="宋体" w:hAnsi="宋体" w:cs="宋体"/>
          <w:sz w:val="40"/>
          <w:szCs w:val="40"/>
        </w:rPr>
        <w:t>节能产品政府采购品目清单</w:t>
      </w:r>
    </w:p>
    <w:tbl>
      <w:tblPr>
        <w:tblStyle w:val="25"/>
        <w:tblW w:w="9432" w:type="dxa"/>
        <w:tblInd w:w="93" w:type="dxa"/>
        <w:tblLayout w:type="fixed"/>
        <w:tblCellMar>
          <w:top w:w="0" w:type="dxa"/>
          <w:left w:w="108" w:type="dxa"/>
          <w:bottom w:w="0" w:type="dxa"/>
          <w:right w:w="108" w:type="dxa"/>
        </w:tblCellMar>
      </w:tblPr>
      <w:tblGrid>
        <w:gridCol w:w="659"/>
        <w:gridCol w:w="1079"/>
        <w:gridCol w:w="1319"/>
        <w:gridCol w:w="1622"/>
        <w:gridCol w:w="4753"/>
      </w:tblGrid>
      <w:tr w14:paraId="4A3DA09F">
        <w:tblPrEx>
          <w:tblCellMar>
            <w:top w:w="0" w:type="dxa"/>
            <w:left w:w="108" w:type="dxa"/>
            <w:bottom w:w="0" w:type="dxa"/>
            <w:right w:w="108" w:type="dxa"/>
          </w:tblCellMar>
        </w:tblPrEx>
        <w:trPr>
          <w:trHeight w:val="653" w:hRule="atLeast"/>
        </w:trPr>
        <w:tc>
          <w:tcPr>
            <w:tcW w:w="659" w:type="dxa"/>
            <w:tcBorders>
              <w:top w:val="single" w:color="000000" w:sz="8" w:space="0"/>
              <w:left w:val="single" w:color="000000" w:sz="8" w:space="0"/>
              <w:bottom w:val="single" w:color="000000" w:sz="8" w:space="0"/>
              <w:right w:val="single" w:color="000000" w:sz="8" w:space="0"/>
            </w:tcBorders>
          </w:tcPr>
          <w:p w14:paraId="3B08E556">
            <w:pPr>
              <w:widowControl/>
              <w:wordWrap w:val="0"/>
              <w:jc w:val="center"/>
              <w:rPr>
                <w:rFonts w:ascii="宋体" w:hAnsi="宋体" w:cs="宋体"/>
                <w:b/>
                <w:bCs/>
                <w:kern w:val="0"/>
                <w:sz w:val="22"/>
                <w:szCs w:val="22"/>
              </w:rPr>
            </w:pPr>
            <w:r>
              <w:rPr>
                <w:rFonts w:hint="eastAsia" w:ascii="宋体" w:hAnsi="宋体" w:cs="宋体"/>
                <w:b/>
                <w:bCs/>
                <w:kern w:val="0"/>
                <w:sz w:val="22"/>
                <w:szCs w:val="22"/>
              </w:rPr>
              <w:t>品目序号</w:t>
            </w:r>
          </w:p>
        </w:tc>
        <w:tc>
          <w:tcPr>
            <w:tcW w:w="4020" w:type="dxa"/>
            <w:gridSpan w:val="3"/>
            <w:tcBorders>
              <w:top w:val="single" w:color="000000" w:sz="8" w:space="0"/>
              <w:left w:val="nil"/>
              <w:bottom w:val="single" w:color="000000" w:sz="8" w:space="0"/>
              <w:right w:val="single" w:color="000000" w:sz="8" w:space="0"/>
            </w:tcBorders>
            <w:vAlign w:val="center"/>
          </w:tcPr>
          <w:p w14:paraId="20A93F1C">
            <w:pPr>
              <w:widowControl/>
              <w:wordWrap w:val="0"/>
              <w:jc w:val="center"/>
              <w:rPr>
                <w:rFonts w:ascii="宋体" w:hAnsi="宋体" w:cs="宋体"/>
                <w:b/>
                <w:bCs/>
                <w:kern w:val="0"/>
                <w:sz w:val="22"/>
                <w:szCs w:val="22"/>
              </w:rPr>
            </w:pPr>
            <w:r>
              <w:rPr>
                <w:rFonts w:hint="eastAsia" w:ascii="宋体" w:hAnsi="宋体" w:cs="宋体"/>
                <w:b/>
                <w:bCs/>
                <w:kern w:val="0"/>
                <w:sz w:val="22"/>
                <w:szCs w:val="22"/>
              </w:rPr>
              <w:t>名称</w:t>
            </w:r>
          </w:p>
        </w:tc>
        <w:tc>
          <w:tcPr>
            <w:tcW w:w="4753" w:type="dxa"/>
            <w:tcBorders>
              <w:top w:val="single" w:color="000000" w:sz="8" w:space="0"/>
              <w:left w:val="nil"/>
              <w:bottom w:val="single" w:color="000000" w:sz="8" w:space="0"/>
              <w:right w:val="single" w:color="000000" w:sz="8" w:space="0"/>
            </w:tcBorders>
            <w:vAlign w:val="center"/>
          </w:tcPr>
          <w:p w14:paraId="5E6606AF">
            <w:pPr>
              <w:widowControl/>
              <w:wordWrap w:val="0"/>
              <w:jc w:val="center"/>
              <w:rPr>
                <w:rFonts w:ascii="宋体" w:hAnsi="宋体" w:cs="宋体"/>
                <w:b/>
                <w:bCs/>
                <w:kern w:val="0"/>
                <w:sz w:val="22"/>
                <w:szCs w:val="22"/>
              </w:rPr>
            </w:pPr>
            <w:r>
              <w:rPr>
                <w:rFonts w:hint="eastAsia" w:ascii="宋体" w:hAnsi="宋体" w:cs="宋体"/>
                <w:b/>
                <w:bCs/>
                <w:kern w:val="0"/>
                <w:sz w:val="22"/>
                <w:szCs w:val="22"/>
              </w:rPr>
              <w:t>依据的标准</w:t>
            </w:r>
          </w:p>
        </w:tc>
      </w:tr>
      <w:tr w14:paraId="54AEB63C">
        <w:tblPrEx>
          <w:tblCellMar>
            <w:top w:w="0" w:type="dxa"/>
            <w:left w:w="108" w:type="dxa"/>
            <w:bottom w:w="0" w:type="dxa"/>
            <w:right w:w="108" w:type="dxa"/>
          </w:tblCellMar>
        </w:tblPrEx>
        <w:trPr>
          <w:trHeight w:val="653" w:hRule="atLeast"/>
        </w:trPr>
        <w:tc>
          <w:tcPr>
            <w:tcW w:w="659" w:type="dxa"/>
            <w:vMerge w:val="restart"/>
            <w:tcBorders>
              <w:top w:val="nil"/>
              <w:left w:val="single" w:color="000000" w:sz="8" w:space="0"/>
              <w:bottom w:val="single" w:color="000000" w:sz="8" w:space="0"/>
              <w:right w:val="single" w:color="000000" w:sz="8" w:space="0"/>
            </w:tcBorders>
            <w:vAlign w:val="center"/>
          </w:tcPr>
          <w:p w14:paraId="73A8F0B6">
            <w:pPr>
              <w:widowControl/>
              <w:wordWrap w:val="0"/>
              <w:jc w:val="center"/>
              <w:rPr>
                <w:rFonts w:ascii="宋体" w:hAnsi="宋体" w:cs="宋体"/>
                <w:kern w:val="0"/>
                <w:sz w:val="20"/>
                <w:szCs w:val="20"/>
              </w:rPr>
            </w:pPr>
            <w:r>
              <w:rPr>
                <w:rFonts w:hint="eastAsia" w:ascii="宋体" w:hAnsi="宋体" w:cs="宋体"/>
                <w:kern w:val="0"/>
                <w:sz w:val="20"/>
                <w:szCs w:val="20"/>
              </w:rPr>
              <w:t>1</w:t>
            </w:r>
          </w:p>
        </w:tc>
        <w:tc>
          <w:tcPr>
            <w:tcW w:w="1079" w:type="dxa"/>
            <w:vMerge w:val="restart"/>
            <w:tcBorders>
              <w:top w:val="nil"/>
              <w:left w:val="single" w:color="000000" w:sz="8" w:space="0"/>
              <w:bottom w:val="single" w:color="000000" w:sz="8" w:space="0"/>
              <w:right w:val="single" w:color="000000" w:sz="8" w:space="0"/>
            </w:tcBorders>
            <w:vAlign w:val="center"/>
          </w:tcPr>
          <w:p w14:paraId="71910089">
            <w:pPr>
              <w:widowControl/>
              <w:wordWrap w:val="0"/>
              <w:jc w:val="center"/>
              <w:rPr>
                <w:rFonts w:ascii="宋体" w:hAnsi="宋体" w:cs="宋体"/>
                <w:kern w:val="0"/>
                <w:sz w:val="20"/>
                <w:szCs w:val="20"/>
              </w:rPr>
            </w:pPr>
            <w:r>
              <w:rPr>
                <w:rFonts w:hint="eastAsia" w:ascii="宋体" w:hAnsi="宋体" w:cs="宋体"/>
                <w:kern w:val="0"/>
                <w:sz w:val="20"/>
                <w:szCs w:val="20"/>
              </w:rPr>
              <w:t>A020101计算机设备</w:t>
            </w:r>
          </w:p>
        </w:tc>
        <w:tc>
          <w:tcPr>
            <w:tcW w:w="1319" w:type="dxa"/>
            <w:tcBorders>
              <w:top w:val="nil"/>
              <w:left w:val="nil"/>
              <w:bottom w:val="single" w:color="000000" w:sz="8" w:space="0"/>
              <w:right w:val="single" w:color="000000" w:sz="8" w:space="0"/>
            </w:tcBorders>
            <w:vAlign w:val="center"/>
          </w:tcPr>
          <w:p w14:paraId="029CF3EC">
            <w:pPr>
              <w:widowControl/>
              <w:wordWrap w:val="0"/>
              <w:jc w:val="center"/>
              <w:rPr>
                <w:rFonts w:ascii="宋体" w:hAnsi="宋体" w:cs="宋体"/>
                <w:kern w:val="0"/>
                <w:sz w:val="20"/>
                <w:szCs w:val="20"/>
              </w:rPr>
            </w:pPr>
            <w:r>
              <w:rPr>
                <w:rFonts w:hint="eastAsia" w:ascii="宋体" w:hAnsi="宋体" w:cs="宋体"/>
                <w:kern w:val="0"/>
                <w:sz w:val="20"/>
                <w:szCs w:val="20"/>
              </w:rPr>
              <w:t>★A02010104台式计算机</w:t>
            </w:r>
          </w:p>
        </w:tc>
        <w:tc>
          <w:tcPr>
            <w:tcW w:w="1622" w:type="dxa"/>
            <w:tcBorders>
              <w:top w:val="nil"/>
              <w:left w:val="nil"/>
              <w:bottom w:val="single" w:color="000000" w:sz="8" w:space="0"/>
              <w:right w:val="single" w:color="000000" w:sz="8" w:space="0"/>
            </w:tcBorders>
            <w:vAlign w:val="center"/>
          </w:tcPr>
          <w:p w14:paraId="47A53861">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55A7872E">
            <w:pPr>
              <w:widowControl/>
              <w:wordWrap w:val="0"/>
              <w:jc w:val="left"/>
              <w:rPr>
                <w:rFonts w:ascii="宋体" w:hAnsi="宋体" w:cs="宋体"/>
                <w:kern w:val="0"/>
                <w:sz w:val="20"/>
                <w:szCs w:val="20"/>
              </w:rPr>
            </w:pPr>
            <w:r>
              <w:rPr>
                <w:rFonts w:hint="eastAsia" w:ascii="宋体" w:hAnsi="宋体" w:cs="宋体"/>
                <w:kern w:val="0"/>
                <w:sz w:val="20"/>
                <w:szCs w:val="20"/>
              </w:rPr>
              <w:t>《微型计算机能效限定值及能效等级》（GB28380）</w:t>
            </w:r>
          </w:p>
        </w:tc>
      </w:tr>
      <w:tr w14:paraId="2764F378">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4995EEEC">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AC50DBB">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7482C9BA">
            <w:pPr>
              <w:widowControl/>
              <w:wordWrap w:val="0"/>
              <w:jc w:val="center"/>
              <w:rPr>
                <w:rFonts w:ascii="宋体" w:hAnsi="宋体" w:cs="宋体"/>
                <w:kern w:val="0"/>
                <w:sz w:val="20"/>
                <w:szCs w:val="20"/>
              </w:rPr>
            </w:pPr>
            <w:r>
              <w:rPr>
                <w:rFonts w:hint="eastAsia" w:ascii="宋体" w:hAnsi="宋体" w:cs="宋体"/>
                <w:kern w:val="0"/>
                <w:sz w:val="20"/>
                <w:szCs w:val="20"/>
              </w:rPr>
              <w:t>★A02010105便携式计算机</w:t>
            </w:r>
          </w:p>
        </w:tc>
        <w:tc>
          <w:tcPr>
            <w:tcW w:w="1622" w:type="dxa"/>
            <w:tcBorders>
              <w:top w:val="nil"/>
              <w:left w:val="nil"/>
              <w:bottom w:val="single" w:color="000000" w:sz="8" w:space="0"/>
              <w:right w:val="single" w:color="000000" w:sz="8" w:space="0"/>
            </w:tcBorders>
            <w:vAlign w:val="center"/>
          </w:tcPr>
          <w:p w14:paraId="1B16F381">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620C1ADC">
            <w:pPr>
              <w:widowControl/>
              <w:wordWrap w:val="0"/>
              <w:jc w:val="left"/>
              <w:rPr>
                <w:rFonts w:ascii="宋体" w:hAnsi="宋体" w:cs="宋体"/>
                <w:kern w:val="0"/>
                <w:sz w:val="20"/>
                <w:szCs w:val="20"/>
              </w:rPr>
            </w:pPr>
            <w:r>
              <w:rPr>
                <w:rFonts w:hint="eastAsia" w:ascii="宋体" w:hAnsi="宋体" w:cs="宋体"/>
                <w:kern w:val="0"/>
                <w:sz w:val="20"/>
                <w:szCs w:val="20"/>
              </w:rPr>
              <w:t>《微型计算机能效限定值及能效等级》（GB28380）</w:t>
            </w:r>
          </w:p>
        </w:tc>
      </w:tr>
      <w:tr w14:paraId="23BAFAEE">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2F73B4C0">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01EA6333">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2B0F4757">
            <w:pPr>
              <w:widowControl/>
              <w:wordWrap w:val="0"/>
              <w:jc w:val="center"/>
              <w:rPr>
                <w:rFonts w:ascii="宋体" w:hAnsi="宋体" w:cs="宋体"/>
                <w:kern w:val="0"/>
                <w:sz w:val="20"/>
                <w:szCs w:val="20"/>
              </w:rPr>
            </w:pPr>
            <w:r>
              <w:rPr>
                <w:rFonts w:hint="eastAsia" w:ascii="宋体" w:hAnsi="宋体" w:cs="宋体"/>
                <w:kern w:val="0"/>
                <w:sz w:val="20"/>
                <w:szCs w:val="20"/>
              </w:rPr>
              <w:t>★A02010107平板式微型计算机</w:t>
            </w:r>
          </w:p>
        </w:tc>
        <w:tc>
          <w:tcPr>
            <w:tcW w:w="1622" w:type="dxa"/>
            <w:tcBorders>
              <w:top w:val="nil"/>
              <w:left w:val="nil"/>
              <w:bottom w:val="single" w:color="000000" w:sz="8" w:space="0"/>
              <w:right w:val="single" w:color="000000" w:sz="8" w:space="0"/>
            </w:tcBorders>
            <w:vAlign w:val="center"/>
          </w:tcPr>
          <w:p w14:paraId="62198397">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4443D5E2">
            <w:pPr>
              <w:widowControl/>
              <w:wordWrap w:val="0"/>
              <w:jc w:val="left"/>
              <w:rPr>
                <w:rFonts w:ascii="宋体" w:hAnsi="宋体" w:cs="宋体"/>
                <w:kern w:val="0"/>
                <w:sz w:val="20"/>
                <w:szCs w:val="20"/>
              </w:rPr>
            </w:pPr>
            <w:r>
              <w:rPr>
                <w:rFonts w:hint="eastAsia" w:ascii="宋体" w:hAnsi="宋体" w:cs="宋体"/>
                <w:kern w:val="0"/>
                <w:sz w:val="20"/>
                <w:szCs w:val="20"/>
              </w:rPr>
              <w:t>《微型计算机能效限定值及能效等级》（GB28380）</w:t>
            </w:r>
          </w:p>
        </w:tc>
      </w:tr>
      <w:tr w14:paraId="17EFE8A9">
        <w:tblPrEx>
          <w:tblCellMar>
            <w:top w:w="0" w:type="dxa"/>
            <w:left w:w="108" w:type="dxa"/>
            <w:bottom w:w="0" w:type="dxa"/>
            <w:right w:w="108" w:type="dxa"/>
          </w:tblCellMar>
        </w:tblPrEx>
        <w:trPr>
          <w:trHeight w:val="653" w:hRule="atLeast"/>
        </w:trPr>
        <w:tc>
          <w:tcPr>
            <w:tcW w:w="659" w:type="dxa"/>
            <w:vMerge w:val="restart"/>
            <w:tcBorders>
              <w:top w:val="nil"/>
              <w:left w:val="single" w:color="000000" w:sz="8" w:space="0"/>
              <w:bottom w:val="single" w:color="000000" w:sz="8" w:space="0"/>
              <w:right w:val="single" w:color="000000" w:sz="8" w:space="0"/>
            </w:tcBorders>
            <w:vAlign w:val="center"/>
          </w:tcPr>
          <w:p w14:paraId="51F36BE9">
            <w:pPr>
              <w:widowControl/>
              <w:wordWrap w:val="0"/>
              <w:jc w:val="center"/>
              <w:rPr>
                <w:rFonts w:ascii="宋体" w:hAnsi="宋体" w:cs="宋体"/>
                <w:kern w:val="0"/>
                <w:sz w:val="20"/>
                <w:szCs w:val="20"/>
              </w:rPr>
            </w:pPr>
            <w:r>
              <w:rPr>
                <w:rFonts w:hint="eastAsia" w:ascii="宋体" w:hAnsi="宋体" w:cs="宋体"/>
                <w:kern w:val="0"/>
                <w:sz w:val="20"/>
                <w:szCs w:val="20"/>
              </w:rPr>
              <w:t>2</w:t>
            </w:r>
          </w:p>
        </w:tc>
        <w:tc>
          <w:tcPr>
            <w:tcW w:w="1079" w:type="dxa"/>
            <w:vMerge w:val="restart"/>
            <w:tcBorders>
              <w:top w:val="nil"/>
              <w:left w:val="single" w:color="000000" w:sz="8" w:space="0"/>
              <w:bottom w:val="single" w:color="000000" w:sz="8" w:space="0"/>
              <w:right w:val="single" w:color="000000" w:sz="8" w:space="0"/>
            </w:tcBorders>
            <w:vAlign w:val="center"/>
          </w:tcPr>
          <w:p w14:paraId="6B5D9BDE">
            <w:pPr>
              <w:widowControl/>
              <w:wordWrap w:val="0"/>
              <w:jc w:val="center"/>
              <w:rPr>
                <w:rFonts w:ascii="宋体" w:hAnsi="宋体" w:cs="宋体"/>
                <w:kern w:val="0"/>
                <w:sz w:val="20"/>
                <w:szCs w:val="20"/>
              </w:rPr>
            </w:pPr>
            <w:r>
              <w:rPr>
                <w:rFonts w:hint="eastAsia" w:ascii="宋体" w:hAnsi="宋体" w:cs="宋体"/>
                <w:kern w:val="0"/>
                <w:sz w:val="20"/>
                <w:szCs w:val="20"/>
              </w:rPr>
              <w:t>A020106输入输出设备</w:t>
            </w:r>
          </w:p>
        </w:tc>
        <w:tc>
          <w:tcPr>
            <w:tcW w:w="1319" w:type="dxa"/>
            <w:vMerge w:val="restart"/>
            <w:tcBorders>
              <w:top w:val="nil"/>
              <w:left w:val="single" w:color="000000" w:sz="8" w:space="0"/>
              <w:bottom w:val="single" w:color="000000" w:sz="8" w:space="0"/>
              <w:right w:val="single" w:color="000000" w:sz="8" w:space="0"/>
            </w:tcBorders>
            <w:vAlign w:val="center"/>
          </w:tcPr>
          <w:p w14:paraId="20E9CCFE">
            <w:pPr>
              <w:widowControl/>
              <w:wordWrap w:val="0"/>
              <w:jc w:val="center"/>
              <w:rPr>
                <w:rFonts w:ascii="宋体" w:hAnsi="宋体" w:cs="宋体"/>
                <w:kern w:val="0"/>
                <w:sz w:val="20"/>
                <w:szCs w:val="20"/>
              </w:rPr>
            </w:pPr>
            <w:r>
              <w:rPr>
                <w:rFonts w:hint="eastAsia" w:ascii="宋体" w:hAnsi="宋体" w:cs="宋体"/>
                <w:kern w:val="0"/>
                <w:sz w:val="20"/>
                <w:szCs w:val="20"/>
              </w:rPr>
              <w:t>A02010601打印设备</w:t>
            </w:r>
          </w:p>
        </w:tc>
        <w:tc>
          <w:tcPr>
            <w:tcW w:w="1622" w:type="dxa"/>
            <w:tcBorders>
              <w:top w:val="nil"/>
              <w:left w:val="nil"/>
              <w:bottom w:val="single" w:color="000000" w:sz="8" w:space="0"/>
              <w:right w:val="single" w:color="000000" w:sz="8" w:space="0"/>
            </w:tcBorders>
            <w:vAlign w:val="center"/>
          </w:tcPr>
          <w:p w14:paraId="05919EA0">
            <w:pPr>
              <w:widowControl/>
              <w:wordWrap w:val="0"/>
              <w:jc w:val="center"/>
              <w:rPr>
                <w:rFonts w:ascii="宋体" w:hAnsi="宋体" w:cs="宋体"/>
                <w:kern w:val="0"/>
                <w:sz w:val="20"/>
                <w:szCs w:val="20"/>
              </w:rPr>
            </w:pPr>
            <w:r>
              <w:rPr>
                <w:rFonts w:hint="eastAsia" w:ascii="宋体" w:hAnsi="宋体" w:cs="宋体"/>
                <w:kern w:val="0"/>
                <w:sz w:val="20"/>
                <w:szCs w:val="20"/>
              </w:rPr>
              <w:t>A0201060101喷墨打印机</w:t>
            </w:r>
          </w:p>
        </w:tc>
        <w:tc>
          <w:tcPr>
            <w:tcW w:w="4753" w:type="dxa"/>
            <w:tcBorders>
              <w:top w:val="nil"/>
              <w:left w:val="nil"/>
              <w:bottom w:val="single" w:color="000000" w:sz="8" w:space="0"/>
              <w:right w:val="single" w:color="000000" w:sz="8" w:space="0"/>
            </w:tcBorders>
            <w:vAlign w:val="center"/>
          </w:tcPr>
          <w:p w14:paraId="4AEDBCCC">
            <w:pPr>
              <w:widowControl/>
              <w:wordWrap w:val="0"/>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7681DE90">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3FD666BA">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3A5D95E5">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292F055B">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3A815F92">
            <w:pPr>
              <w:widowControl/>
              <w:wordWrap w:val="0"/>
              <w:jc w:val="center"/>
              <w:rPr>
                <w:rFonts w:ascii="宋体" w:hAnsi="宋体" w:cs="宋体"/>
                <w:kern w:val="0"/>
                <w:sz w:val="20"/>
                <w:szCs w:val="20"/>
              </w:rPr>
            </w:pPr>
            <w:r>
              <w:rPr>
                <w:rFonts w:hint="eastAsia" w:ascii="宋体" w:hAnsi="宋体" w:cs="宋体"/>
                <w:kern w:val="0"/>
                <w:sz w:val="20"/>
                <w:szCs w:val="20"/>
              </w:rPr>
              <w:t>★A0201060102激光打印机</w:t>
            </w:r>
          </w:p>
        </w:tc>
        <w:tc>
          <w:tcPr>
            <w:tcW w:w="4753" w:type="dxa"/>
            <w:tcBorders>
              <w:top w:val="nil"/>
              <w:left w:val="nil"/>
              <w:bottom w:val="single" w:color="000000" w:sz="8" w:space="0"/>
              <w:right w:val="single" w:color="000000" w:sz="8" w:space="0"/>
            </w:tcBorders>
            <w:vAlign w:val="center"/>
          </w:tcPr>
          <w:p w14:paraId="2D0C6FC8">
            <w:pPr>
              <w:widowControl/>
              <w:wordWrap w:val="0"/>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6ECFF3CD">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7C1D3186">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F92D795">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348C7EB6">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54C90BB5">
            <w:pPr>
              <w:widowControl/>
              <w:wordWrap w:val="0"/>
              <w:jc w:val="center"/>
              <w:rPr>
                <w:rFonts w:ascii="宋体" w:hAnsi="宋体" w:cs="宋体"/>
                <w:kern w:val="0"/>
                <w:sz w:val="20"/>
                <w:szCs w:val="20"/>
              </w:rPr>
            </w:pPr>
            <w:r>
              <w:rPr>
                <w:rFonts w:hint="eastAsia" w:ascii="宋体" w:hAnsi="宋体" w:cs="宋体"/>
                <w:kern w:val="0"/>
                <w:sz w:val="20"/>
                <w:szCs w:val="20"/>
              </w:rPr>
              <w:t>★A0201060104针式打印机</w:t>
            </w:r>
          </w:p>
        </w:tc>
        <w:tc>
          <w:tcPr>
            <w:tcW w:w="4753" w:type="dxa"/>
            <w:tcBorders>
              <w:top w:val="nil"/>
              <w:left w:val="nil"/>
              <w:bottom w:val="single" w:color="000000" w:sz="8" w:space="0"/>
              <w:right w:val="single" w:color="000000" w:sz="8" w:space="0"/>
            </w:tcBorders>
            <w:vAlign w:val="center"/>
          </w:tcPr>
          <w:p w14:paraId="5C89940F">
            <w:pPr>
              <w:widowControl/>
              <w:wordWrap w:val="0"/>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5863F96F">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2D9524D2">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1D665F8A">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0F9805CB">
            <w:pPr>
              <w:widowControl/>
              <w:wordWrap w:val="0"/>
              <w:jc w:val="center"/>
              <w:rPr>
                <w:rFonts w:ascii="宋体" w:hAnsi="宋体" w:cs="宋体"/>
                <w:kern w:val="0"/>
                <w:sz w:val="20"/>
                <w:szCs w:val="20"/>
              </w:rPr>
            </w:pPr>
            <w:r>
              <w:rPr>
                <w:rFonts w:hint="eastAsia" w:ascii="宋体" w:hAnsi="宋体" w:cs="宋体"/>
                <w:kern w:val="0"/>
                <w:sz w:val="20"/>
                <w:szCs w:val="20"/>
              </w:rPr>
              <w:t>A02010604显示设备</w:t>
            </w:r>
          </w:p>
        </w:tc>
        <w:tc>
          <w:tcPr>
            <w:tcW w:w="1622" w:type="dxa"/>
            <w:tcBorders>
              <w:top w:val="nil"/>
              <w:left w:val="nil"/>
              <w:bottom w:val="single" w:color="000000" w:sz="8" w:space="0"/>
              <w:right w:val="single" w:color="000000" w:sz="8" w:space="0"/>
            </w:tcBorders>
            <w:vAlign w:val="center"/>
          </w:tcPr>
          <w:p w14:paraId="535F6771">
            <w:pPr>
              <w:widowControl/>
              <w:wordWrap w:val="0"/>
              <w:jc w:val="center"/>
              <w:rPr>
                <w:rFonts w:ascii="宋体" w:hAnsi="宋体" w:cs="宋体"/>
                <w:kern w:val="0"/>
                <w:sz w:val="20"/>
                <w:szCs w:val="20"/>
              </w:rPr>
            </w:pPr>
            <w:r>
              <w:rPr>
                <w:rFonts w:hint="eastAsia" w:ascii="宋体" w:hAnsi="宋体" w:cs="宋体"/>
                <w:kern w:val="0"/>
                <w:sz w:val="20"/>
                <w:szCs w:val="20"/>
              </w:rPr>
              <w:t>★A0201060401液晶显示器</w:t>
            </w:r>
          </w:p>
        </w:tc>
        <w:tc>
          <w:tcPr>
            <w:tcW w:w="4753" w:type="dxa"/>
            <w:tcBorders>
              <w:top w:val="nil"/>
              <w:left w:val="nil"/>
              <w:bottom w:val="single" w:color="000000" w:sz="8" w:space="0"/>
              <w:right w:val="single" w:color="000000" w:sz="8" w:space="0"/>
            </w:tcBorders>
            <w:vAlign w:val="center"/>
          </w:tcPr>
          <w:p w14:paraId="7F2125EF">
            <w:pPr>
              <w:widowControl/>
              <w:wordWrap w:val="0"/>
              <w:jc w:val="left"/>
              <w:rPr>
                <w:rFonts w:ascii="宋体" w:hAnsi="宋体" w:cs="宋体"/>
                <w:kern w:val="0"/>
                <w:sz w:val="20"/>
                <w:szCs w:val="20"/>
              </w:rPr>
            </w:pPr>
            <w:r>
              <w:rPr>
                <w:rFonts w:hint="eastAsia" w:ascii="宋体" w:hAnsi="宋体" w:cs="宋体"/>
                <w:kern w:val="0"/>
                <w:sz w:val="20"/>
                <w:szCs w:val="20"/>
              </w:rPr>
              <w:t>《计算机显示器能效限定值及能效等级》（GB21520）</w:t>
            </w:r>
          </w:p>
        </w:tc>
      </w:tr>
      <w:tr w14:paraId="5676CA3F">
        <w:tblPrEx>
          <w:tblCellMar>
            <w:top w:w="0" w:type="dxa"/>
            <w:left w:w="108" w:type="dxa"/>
            <w:bottom w:w="0" w:type="dxa"/>
            <w:right w:w="108" w:type="dxa"/>
          </w:tblCellMar>
        </w:tblPrEx>
        <w:trPr>
          <w:trHeight w:val="1287" w:hRule="atLeast"/>
        </w:trPr>
        <w:tc>
          <w:tcPr>
            <w:tcW w:w="659" w:type="dxa"/>
            <w:vMerge w:val="continue"/>
            <w:tcBorders>
              <w:top w:val="nil"/>
              <w:left w:val="single" w:color="000000" w:sz="8" w:space="0"/>
              <w:bottom w:val="single" w:color="000000" w:sz="8" w:space="0"/>
              <w:right w:val="single" w:color="000000" w:sz="8" w:space="0"/>
            </w:tcBorders>
            <w:vAlign w:val="center"/>
          </w:tcPr>
          <w:p w14:paraId="76D97310">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714609DB">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30E02910">
            <w:pPr>
              <w:widowControl/>
              <w:wordWrap w:val="0"/>
              <w:jc w:val="center"/>
              <w:rPr>
                <w:rFonts w:ascii="宋体" w:hAnsi="宋体" w:cs="宋体"/>
                <w:kern w:val="0"/>
                <w:sz w:val="20"/>
                <w:szCs w:val="20"/>
              </w:rPr>
            </w:pPr>
            <w:r>
              <w:rPr>
                <w:rFonts w:hint="eastAsia" w:ascii="宋体" w:hAnsi="宋体" w:cs="宋体"/>
                <w:kern w:val="0"/>
                <w:sz w:val="20"/>
                <w:szCs w:val="20"/>
              </w:rPr>
              <w:t>A02010609图形图像输入设备</w:t>
            </w:r>
          </w:p>
        </w:tc>
        <w:tc>
          <w:tcPr>
            <w:tcW w:w="1622" w:type="dxa"/>
            <w:tcBorders>
              <w:top w:val="nil"/>
              <w:left w:val="nil"/>
              <w:bottom w:val="single" w:color="000000" w:sz="8" w:space="0"/>
              <w:right w:val="single" w:color="000000" w:sz="8" w:space="0"/>
            </w:tcBorders>
            <w:vAlign w:val="center"/>
          </w:tcPr>
          <w:p w14:paraId="6B1086E2">
            <w:pPr>
              <w:widowControl/>
              <w:wordWrap w:val="0"/>
              <w:jc w:val="center"/>
              <w:rPr>
                <w:rFonts w:ascii="宋体" w:hAnsi="宋体" w:cs="宋体"/>
                <w:kern w:val="0"/>
                <w:sz w:val="20"/>
                <w:szCs w:val="20"/>
              </w:rPr>
            </w:pPr>
            <w:r>
              <w:rPr>
                <w:rFonts w:hint="eastAsia" w:ascii="宋体" w:hAnsi="宋体" w:cs="宋体"/>
                <w:kern w:val="0"/>
                <w:sz w:val="20"/>
                <w:szCs w:val="20"/>
              </w:rPr>
              <w:t>A0201060901扫描仪</w:t>
            </w:r>
          </w:p>
        </w:tc>
        <w:tc>
          <w:tcPr>
            <w:tcW w:w="4753" w:type="dxa"/>
            <w:tcBorders>
              <w:top w:val="nil"/>
              <w:left w:val="nil"/>
              <w:bottom w:val="single" w:color="000000" w:sz="8" w:space="0"/>
              <w:right w:val="single" w:color="000000" w:sz="8" w:space="0"/>
            </w:tcBorders>
            <w:vAlign w:val="center"/>
          </w:tcPr>
          <w:p w14:paraId="67189F3D">
            <w:pPr>
              <w:widowControl/>
              <w:wordWrap w:val="0"/>
              <w:jc w:val="left"/>
              <w:rPr>
                <w:rFonts w:ascii="宋体" w:hAnsi="宋体" w:cs="宋体"/>
                <w:kern w:val="0"/>
                <w:sz w:val="20"/>
                <w:szCs w:val="20"/>
              </w:rPr>
            </w:pPr>
            <w:r>
              <w:rPr>
                <w:rFonts w:hint="eastAsia" w:ascii="宋体" w:hAnsi="宋体" w:cs="宋体"/>
                <w:kern w:val="0"/>
                <w:sz w:val="20"/>
                <w:szCs w:val="20"/>
              </w:rPr>
              <w:t>参照《复印机、打印机和传真机能效限定值及能效等级》（GB21521中打印速度为15页/分的针式打印机相关要求中打印速度为15页/分的针式打印机相关要求</w:t>
            </w:r>
          </w:p>
        </w:tc>
      </w:tr>
      <w:tr w14:paraId="1459859F">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3EF533F4">
            <w:pPr>
              <w:widowControl/>
              <w:wordWrap w:val="0"/>
              <w:jc w:val="center"/>
              <w:rPr>
                <w:rFonts w:ascii="宋体" w:hAnsi="宋体" w:cs="宋体"/>
                <w:kern w:val="0"/>
                <w:sz w:val="20"/>
                <w:szCs w:val="20"/>
              </w:rPr>
            </w:pPr>
            <w:r>
              <w:rPr>
                <w:rFonts w:hint="eastAsia" w:ascii="宋体" w:hAnsi="宋体" w:cs="宋体"/>
                <w:kern w:val="0"/>
                <w:sz w:val="20"/>
                <w:szCs w:val="20"/>
              </w:rPr>
              <w:t>3</w:t>
            </w:r>
          </w:p>
        </w:tc>
        <w:tc>
          <w:tcPr>
            <w:tcW w:w="1079" w:type="dxa"/>
            <w:tcBorders>
              <w:top w:val="nil"/>
              <w:left w:val="nil"/>
              <w:bottom w:val="single" w:color="000000" w:sz="8" w:space="0"/>
              <w:right w:val="single" w:color="000000" w:sz="8" w:space="0"/>
            </w:tcBorders>
            <w:vAlign w:val="center"/>
          </w:tcPr>
          <w:p w14:paraId="24C8B07E">
            <w:pPr>
              <w:widowControl/>
              <w:wordWrap w:val="0"/>
              <w:jc w:val="center"/>
              <w:rPr>
                <w:rFonts w:ascii="宋体" w:hAnsi="宋体" w:cs="宋体"/>
                <w:kern w:val="0"/>
                <w:sz w:val="20"/>
                <w:szCs w:val="20"/>
              </w:rPr>
            </w:pPr>
            <w:r>
              <w:rPr>
                <w:rFonts w:hint="eastAsia" w:ascii="宋体" w:hAnsi="宋体" w:cs="宋体"/>
                <w:kern w:val="0"/>
                <w:sz w:val="20"/>
                <w:szCs w:val="20"/>
              </w:rPr>
              <w:t>A020202投影仪</w:t>
            </w:r>
          </w:p>
        </w:tc>
        <w:tc>
          <w:tcPr>
            <w:tcW w:w="1319" w:type="dxa"/>
            <w:tcBorders>
              <w:top w:val="nil"/>
              <w:left w:val="nil"/>
              <w:bottom w:val="single" w:color="000000" w:sz="8" w:space="0"/>
              <w:right w:val="single" w:color="000000" w:sz="8" w:space="0"/>
            </w:tcBorders>
            <w:vAlign w:val="center"/>
          </w:tcPr>
          <w:p w14:paraId="15EE079A">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1622" w:type="dxa"/>
            <w:tcBorders>
              <w:top w:val="nil"/>
              <w:left w:val="nil"/>
              <w:bottom w:val="single" w:color="000000" w:sz="8" w:space="0"/>
              <w:right w:val="single" w:color="000000" w:sz="8" w:space="0"/>
            </w:tcBorders>
            <w:vAlign w:val="center"/>
          </w:tcPr>
          <w:p w14:paraId="4325109B">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352CBB7F">
            <w:pPr>
              <w:widowControl/>
              <w:wordWrap w:val="0"/>
              <w:jc w:val="left"/>
              <w:rPr>
                <w:rFonts w:ascii="宋体" w:hAnsi="宋体" w:cs="宋体"/>
                <w:kern w:val="0"/>
                <w:sz w:val="20"/>
                <w:szCs w:val="20"/>
              </w:rPr>
            </w:pPr>
            <w:r>
              <w:rPr>
                <w:rFonts w:hint="eastAsia" w:ascii="宋体" w:hAnsi="宋体" w:cs="宋体"/>
                <w:kern w:val="0"/>
                <w:sz w:val="20"/>
                <w:szCs w:val="20"/>
              </w:rPr>
              <w:t>《投影机能效限定值及能效等级》（GB32028）</w:t>
            </w:r>
          </w:p>
        </w:tc>
      </w:tr>
      <w:tr w14:paraId="5890AEC1">
        <w:tblPrEx>
          <w:tblCellMar>
            <w:top w:w="0" w:type="dxa"/>
            <w:left w:w="108" w:type="dxa"/>
            <w:bottom w:w="0" w:type="dxa"/>
            <w:right w:w="108" w:type="dxa"/>
          </w:tblCellMar>
        </w:tblPrEx>
        <w:trPr>
          <w:trHeight w:val="970" w:hRule="atLeast"/>
        </w:trPr>
        <w:tc>
          <w:tcPr>
            <w:tcW w:w="659" w:type="dxa"/>
            <w:tcBorders>
              <w:top w:val="nil"/>
              <w:left w:val="single" w:color="000000" w:sz="8" w:space="0"/>
              <w:bottom w:val="single" w:color="000000" w:sz="8" w:space="0"/>
              <w:right w:val="single" w:color="000000" w:sz="8" w:space="0"/>
            </w:tcBorders>
            <w:vAlign w:val="center"/>
          </w:tcPr>
          <w:p w14:paraId="08399472">
            <w:pPr>
              <w:widowControl/>
              <w:wordWrap w:val="0"/>
              <w:jc w:val="center"/>
              <w:rPr>
                <w:rFonts w:ascii="宋体" w:hAnsi="宋体" w:cs="宋体"/>
                <w:kern w:val="0"/>
                <w:sz w:val="20"/>
                <w:szCs w:val="20"/>
              </w:rPr>
            </w:pPr>
            <w:r>
              <w:rPr>
                <w:rFonts w:hint="eastAsia" w:ascii="宋体" w:hAnsi="宋体" w:cs="宋体"/>
                <w:kern w:val="0"/>
                <w:sz w:val="20"/>
                <w:szCs w:val="20"/>
              </w:rPr>
              <w:t>4</w:t>
            </w:r>
          </w:p>
        </w:tc>
        <w:tc>
          <w:tcPr>
            <w:tcW w:w="1079" w:type="dxa"/>
            <w:tcBorders>
              <w:top w:val="nil"/>
              <w:left w:val="nil"/>
              <w:bottom w:val="single" w:color="000000" w:sz="8" w:space="0"/>
              <w:right w:val="single" w:color="000000" w:sz="8" w:space="0"/>
            </w:tcBorders>
            <w:vAlign w:val="center"/>
          </w:tcPr>
          <w:p w14:paraId="6AD59521">
            <w:pPr>
              <w:widowControl/>
              <w:wordWrap w:val="0"/>
              <w:jc w:val="center"/>
              <w:rPr>
                <w:rFonts w:ascii="宋体" w:hAnsi="宋体" w:cs="宋体"/>
                <w:kern w:val="0"/>
                <w:sz w:val="20"/>
                <w:szCs w:val="20"/>
              </w:rPr>
            </w:pPr>
            <w:r>
              <w:rPr>
                <w:rFonts w:hint="eastAsia" w:ascii="宋体" w:hAnsi="宋体" w:cs="宋体"/>
                <w:kern w:val="0"/>
                <w:sz w:val="20"/>
                <w:szCs w:val="20"/>
              </w:rPr>
              <w:t>A020204多功能一体机</w:t>
            </w:r>
          </w:p>
        </w:tc>
        <w:tc>
          <w:tcPr>
            <w:tcW w:w="1319" w:type="dxa"/>
            <w:tcBorders>
              <w:top w:val="nil"/>
              <w:left w:val="nil"/>
              <w:bottom w:val="single" w:color="000000" w:sz="8" w:space="0"/>
              <w:right w:val="single" w:color="000000" w:sz="8" w:space="0"/>
            </w:tcBorders>
            <w:vAlign w:val="center"/>
          </w:tcPr>
          <w:p w14:paraId="4DD882B5">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1622" w:type="dxa"/>
            <w:tcBorders>
              <w:top w:val="nil"/>
              <w:left w:val="nil"/>
              <w:bottom w:val="single" w:color="000000" w:sz="8" w:space="0"/>
              <w:right w:val="single" w:color="000000" w:sz="8" w:space="0"/>
            </w:tcBorders>
            <w:vAlign w:val="center"/>
          </w:tcPr>
          <w:p w14:paraId="3BDC5955">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633AF6E7">
            <w:pPr>
              <w:widowControl/>
              <w:wordWrap w:val="0"/>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17999FD5">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43B74B7A">
            <w:pPr>
              <w:widowControl/>
              <w:wordWrap w:val="0"/>
              <w:jc w:val="center"/>
              <w:rPr>
                <w:rFonts w:ascii="宋体" w:hAnsi="宋体" w:cs="宋体"/>
                <w:kern w:val="0"/>
                <w:sz w:val="20"/>
                <w:szCs w:val="20"/>
              </w:rPr>
            </w:pPr>
            <w:r>
              <w:rPr>
                <w:rFonts w:hint="eastAsia" w:ascii="宋体" w:hAnsi="宋体" w:cs="宋体"/>
                <w:kern w:val="0"/>
                <w:sz w:val="20"/>
                <w:szCs w:val="20"/>
              </w:rPr>
              <w:t>5</w:t>
            </w:r>
          </w:p>
        </w:tc>
        <w:tc>
          <w:tcPr>
            <w:tcW w:w="1079" w:type="dxa"/>
            <w:tcBorders>
              <w:top w:val="nil"/>
              <w:left w:val="nil"/>
              <w:bottom w:val="single" w:color="000000" w:sz="8" w:space="0"/>
              <w:right w:val="single" w:color="000000" w:sz="8" w:space="0"/>
            </w:tcBorders>
            <w:vAlign w:val="center"/>
          </w:tcPr>
          <w:p w14:paraId="3A811496">
            <w:pPr>
              <w:widowControl/>
              <w:wordWrap w:val="0"/>
              <w:jc w:val="center"/>
              <w:rPr>
                <w:rFonts w:ascii="宋体" w:hAnsi="宋体" w:cs="宋体"/>
                <w:kern w:val="0"/>
                <w:sz w:val="20"/>
                <w:szCs w:val="20"/>
              </w:rPr>
            </w:pPr>
            <w:r>
              <w:rPr>
                <w:rFonts w:hint="eastAsia" w:ascii="宋体" w:hAnsi="宋体" w:cs="宋体"/>
                <w:kern w:val="0"/>
                <w:sz w:val="20"/>
                <w:szCs w:val="20"/>
              </w:rPr>
              <w:t>A020519泵</w:t>
            </w:r>
          </w:p>
        </w:tc>
        <w:tc>
          <w:tcPr>
            <w:tcW w:w="1319" w:type="dxa"/>
            <w:tcBorders>
              <w:top w:val="nil"/>
              <w:left w:val="nil"/>
              <w:bottom w:val="single" w:color="000000" w:sz="8" w:space="0"/>
              <w:right w:val="single" w:color="000000" w:sz="8" w:space="0"/>
            </w:tcBorders>
            <w:vAlign w:val="center"/>
          </w:tcPr>
          <w:p w14:paraId="4A1C92A3">
            <w:pPr>
              <w:widowControl/>
              <w:wordWrap w:val="0"/>
              <w:jc w:val="center"/>
              <w:rPr>
                <w:rFonts w:ascii="宋体" w:hAnsi="宋体" w:cs="宋体"/>
                <w:kern w:val="0"/>
                <w:sz w:val="20"/>
                <w:szCs w:val="20"/>
              </w:rPr>
            </w:pPr>
            <w:r>
              <w:rPr>
                <w:rFonts w:hint="eastAsia" w:ascii="宋体" w:hAnsi="宋体" w:cs="宋体"/>
                <w:kern w:val="0"/>
                <w:sz w:val="20"/>
                <w:szCs w:val="20"/>
              </w:rPr>
              <w:t>A02051901离心泵</w:t>
            </w:r>
          </w:p>
        </w:tc>
        <w:tc>
          <w:tcPr>
            <w:tcW w:w="1622" w:type="dxa"/>
            <w:tcBorders>
              <w:top w:val="nil"/>
              <w:left w:val="nil"/>
              <w:bottom w:val="single" w:color="000000" w:sz="8" w:space="0"/>
              <w:right w:val="single" w:color="000000" w:sz="8" w:space="0"/>
            </w:tcBorders>
            <w:vAlign w:val="center"/>
          </w:tcPr>
          <w:p w14:paraId="525B0EA6">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33BBC283">
            <w:pPr>
              <w:widowControl/>
              <w:wordWrap w:val="0"/>
              <w:jc w:val="left"/>
              <w:rPr>
                <w:rFonts w:ascii="宋体" w:hAnsi="宋体" w:cs="宋体"/>
                <w:kern w:val="0"/>
                <w:sz w:val="20"/>
                <w:szCs w:val="20"/>
              </w:rPr>
            </w:pPr>
            <w:r>
              <w:rPr>
                <w:rFonts w:hint="eastAsia" w:ascii="宋体" w:hAnsi="宋体" w:cs="宋体"/>
                <w:kern w:val="0"/>
                <w:sz w:val="20"/>
                <w:szCs w:val="20"/>
              </w:rPr>
              <w:t>《清水离心泵能效限定值及节能评价值》（GB19762）</w:t>
            </w:r>
          </w:p>
        </w:tc>
      </w:tr>
      <w:tr w14:paraId="0E927F8D">
        <w:tblPrEx>
          <w:tblCellMar>
            <w:top w:w="0" w:type="dxa"/>
            <w:left w:w="108" w:type="dxa"/>
            <w:bottom w:w="0" w:type="dxa"/>
            <w:right w:w="108" w:type="dxa"/>
          </w:tblCellMar>
        </w:tblPrEx>
        <w:trPr>
          <w:trHeight w:val="970" w:hRule="atLeast"/>
        </w:trPr>
        <w:tc>
          <w:tcPr>
            <w:tcW w:w="659" w:type="dxa"/>
            <w:vMerge w:val="restart"/>
            <w:tcBorders>
              <w:top w:val="nil"/>
              <w:left w:val="single" w:color="000000" w:sz="8" w:space="0"/>
              <w:bottom w:val="single" w:color="000000" w:sz="8" w:space="0"/>
              <w:right w:val="single" w:color="000000" w:sz="8" w:space="0"/>
            </w:tcBorders>
            <w:vAlign w:val="center"/>
          </w:tcPr>
          <w:p w14:paraId="35370041">
            <w:pPr>
              <w:widowControl/>
              <w:wordWrap w:val="0"/>
              <w:jc w:val="center"/>
              <w:rPr>
                <w:rFonts w:ascii="宋体" w:hAnsi="宋体" w:cs="宋体"/>
                <w:kern w:val="0"/>
                <w:sz w:val="20"/>
                <w:szCs w:val="20"/>
              </w:rPr>
            </w:pPr>
            <w:r>
              <w:rPr>
                <w:rFonts w:hint="eastAsia" w:ascii="宋体" w:hAnsi="宋体" w:cs="宋体"/>
                <w:kern w:val="0"/>
                <w:sz w:val="20"/>
                <w:szCs w:val="20"/>
              </w:rPr>
              <w:t>6</w:t>
            </w:r>
          </w:p>
        </w:tc>
        <w:tc>
          <w:tcPr>
            <w:tcW w:w="1079" w:type="dxa"/>
            <w:vMerge w:val="restart"/>
            <w:tcBorders>
              <w:top w:val="nil"/>
              <w:left w:val="single" w:color="000000" w:sz="8" w:space="0"/>
              <w:bottom w:val="single" w:color="000000" w:sz="8" w:space="0"/>
              <w:right w:val="single" w:color="000000" w:sz="8" w:space="0"/>
            </w:tcBorders>
            <w:vAlign w:val="center"/>
          </w:tcPr>
          <w:p w14:paraId="2467D2B4">
            <w:pPr>
              <w:widowControl/>
              <w:wordWrap w:val="0"/>
              <w:jc w:val="center"/>
              <w:rPr>
                <w:rFonts w:ascii="宋体" w:hAnsi="宋体" w:cs="宋体"/>
                <w:kern w:val="0"/>
                <w:sz w:val="20"/>
                <w:szCs w:val="20"/>
              </w:rPr>
            </w:pPr>
            <w:r>
              <w:rPr>
                <w:rFonts w:hint="eastAsia" w:ascii="宋体" w:hAnsi="宋体" w:cs="宋体"/>
                <w:kern w:val="0"/>
                <w:sz w:val="20"/>
                <w:szCs w:val="20"/>
              </w:rPr>
              <w:t>A020523制冷空调设备</w:t>
            </w:r>
          </w:p>
        </w:tc>
        <w:tc>
          <w:tcPr>
            <w:tcW w:w="1319" w:type="dxa"/>
            <w:vMerge w:val="restart"/>
            <w:tcBorders>
              <w:top w:val="nil"/>
              <w:left w:val="single" w:color="000000" w:sz="8" w:space="0"/>
              <w:bottom w:val="single" w:color="000000" w:sz="8" w:space="0"/>
              <w:right w:val="single" w:color="000000" w:sz="8" w:space="0"/>
            </w:tcBorders>
            <w:vAlign w:val="center"/>
          </w:tcPr>
          <w:p w14:paraId="0F925EBA">
            <w:pPr>
              <w:widowControl/>
              <w:wordWrap w:val="0"/>
              <w:jc w:val="center"/>
              <w:rPr>
                <w:rFonts w:ascii="宋体" w:hAnsi="宋体" w:cs="宋体"/>
                <w:kern w:val="0"/>
                <w:sz w:val="20"/>
                <w:szCs w:val="20"/>
              </w:rPr>
            </w:pPr>
            <w:r>
              <w:rPr>
                <w:rFonts w:hint="eastAsia" w:ascii="宋体" w:hAnsi="宋体" w:cs="宋体"/>
                <w:kern w:val="0"/>
                <w:sz w:val="20"/>
                <w:szCs w:val="20"/>
              </w:rPr>
              <w:t>★A02052301制冷压缩机</w:t>
            </w:r>
          </w:p>
        </w:tc>
        <w:tc>
          <w:tcPr>
            <w:tcW w:w="1622" w:type="dxa"/>
            <w:tcBorders>
              <w:top w:val="nil"/>
              <w:left w:val="nil"/>
              <w:bottom w:val="single" w:color="000000" w:sz="8" w:space="0"/>
              <w:right w:val="single" w:color="000000" w:sz="8" w:space="0"/>
            </w:tcBorders>
            <w:vAlign w:val="center"/>
          </w:tcPr>
          <w:p w14:paraId="221E0556">
            <w:pPr>
              <w:widowControl/>
              <w:wordWrap w:val="0"/>
              <w:jc w:val="center"/>
              <w:rPr>
                <w:rFonts w:ascii="宋体" w:hAnsi="宋体" w:cs="宋体"/>
                <w:kern w:val="0"/>
                <w:sz w:val="20"/>
                <w:szCs w:val="20"/>
              </w:rPr>
            </w:pPr>
            <w:r>
              <w:rPr>
                <w:rFonts w:hint="eastAsia" w:ascii="宋体" w:hAnsi="宋体" w:cs="宋体"/>
                <w:kern w:val="0"/>
                <w:sz w:val="20"/>
                <w:szCs w:val="20"/>
              </w:rPr>
              <w:t>冷水机组</w:t>
            </w:r>
          </w:p>
        </w:tc>
        <w:tc>
          <w:tcPr>
            <w:tcW w:w="4753" w:type="dxa"/>
            <w:tcBorders>
              <w:top w:val="nil"/>
              <w:left w:val="nil"/>
              <w:bottom w:val="single" w:color="000000" w:sz="8" w:space="0"/>
              <w:right w:val="single" w:color="000000" w:sz="8" w:space="0"/>
            </w:tcBorders>
            <w:vAlign w:val="center"/>
          </w:tcPr>
          <w:p w14:paraId="64C95219">
            <w:pPr>
              <w:widowControl/>
              <w:wordWrap w:val="0"/>
              <w:jc w:val="left"/>
              <w:rPr>
                <w:rFonts w:ascii="宋体" w:hAnsi="宋体" w:cs="宋体"/>
                <w:kern w:val="0"/>
                <w:sz w:val="20"/>
                <w:szCs w:val="20"/>
              </w:rPr>
            </w:pPr>
            <w:r>
              <w:rPr>
                <w:rFonts w:hint="eastAsia" w:ascii="宋体" w:hAnsi="宋体" w:cs="宋体"/>
                <w:kern w:val="0"/>
                <w:sz w:val="20"/>
                <w:szCs w:val="20"/>
              </w:rPr>
              <w:t>《冷水机组能效限定值及能效等级》（GB19577），《低环境温度空气源热泵（冷水）机组能效限定值及能效等级》（GB37480）</w:t>
            </w:r>
          </w:p>
        </w:tc>
      </w:tr>
      <w:tr w14:paraId="51FD21DE">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4B0F6071">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638A60AE">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2675BA89">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52CFDF47">
            <w:pPr>
              <w:widowControl/>
              <w:wordWrap w:val="0"/>
              <w:jc w:val="center"/>
              <w:rPr>
                <w:rFonts w:ascii="宋体" w:hAnsi="宋体" w:cs="宋体"/>
                <w:kern w:val="0"/>
                <w:sz w:val="20"/>
                <w:szCs w:val="20"/>
              </w:rPr>
            </w:pPr>
            <w:r>
              <w:rPr>
                <w:rFonts w:hint="eastAsia" w:ascii="宋体" w:hAnsi="宋体" w:cs="宋体"/>
                <w:kern w:val="0"/>
                <w:sz w:val="20"/>
                <w:szCs w:val="20"/>
              </w:rPr>
              <w:t>水源热泵机组</w:t>
            </w:r>
          </w:p>
        </w:tc>
        <w:tc>
          <w:tcPr>
            <w:tcW w:w="4753" w:type="dxa"/>
            <w:tcBorders>
              <w:top w:val="nil"/>
              <w:left w:val="nil"/>
              <w:bottom w:val="single" w:color="000000" w:sz="8" w:space="0"/>
              <w:right w:val="single" w:color="000000" w:sz="8" w:space="0"/>
            </w:tcBorders>
            <w:vAlign w:val="center"/>
          </w:tcPr>
          <w:p w14:paraId="0CCB5F78">
            <w:pPr>
              <w:widowControl/>
              <w:wordWrap w:val="0"/>
              <w:jc w:val="left"/>
              <w:rPr>
                <w:rFonts w:ascii="宋体" w:hAnsi="宋体" w:cs="宋体"/>
                <w:kern w:val="0"/>
                <w:sz w:val="20"/>
                <w:szCs w:val="20"/>
              </w:rPr>
            </w:pPr>
            <w:r>
              <w:rPr>
                <w:rFonts w:hint="eastAsia" w:ascii="宋体" w:hAnsi="宋体" w:cs="宋体"/>
                <w:kern w:val="0"/>
                <w:sz w:val="20"/>
                <w:szCs w:val="20"/>
              </w:rPr>
              <w:t>《水（地）源热泵机组能效限定值及能效等级》（GB30721）</w:t>
            </w:r>
          </w:p>
        </w:tc>
      </w:tr>
      <w:tr w14:paraId="087CE88A">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75F7D110">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7B2B5D47">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5128BAF8">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5348084F">
            <w:pPr>
              <w:widowControl/>
              <w:wordWrap w:val="0"/>
              <w:jc w:val="center"/>
              <w:rPr>
                <w:rFonts w:ascii="宋体" w:hAnsi="宋体" w:cs="宋体"/>
                <w:kern w:val="0"/>
                <w:sz w:val="20"/>
                <w:szCs w:val="20"/>
              </w:rPr>
            </w:pPr>
            <w:r>
              <w:rPr>
                <w:rFonts w:hint="eastAsia" w:ascii="宋体" w:hAnsi="宋体" w:cs="宋体"/>
                <w:kern w:val="0"/>
                <w:sz w:val="20"/>
                <w:szCs w:val="20"/>
              </w:rPr>
              <w:t>溴化锂吸收式冷水机组</w:t>
            </w:r>
          </w:p>
        </w:tc>
        <w:tc>
          <w:tcPr>
            <w:tcW w:w="4753" w:type="dxa"/>
            <w:tcBorders>
              <w:top w:val="nil"/>
              <w:left w:val="nil"/>
              <w:bottom w:val="single" w:color="000000" w:sz="8" w:space="0"/>
              <w:right w:val="single" w:color="000000" w:sz="8" w:space="0"/>
            </w:tcBorders>
            <w:vAlign w:val="center"/>
          </w:tcPr>
          <w:p w14:paraId="60F7F6F8">
            <w:pPr>
              <w:widowControl/>
              <w:wordWrap w:val="0"/>
              <w:jc w:val="left"/>
              <w:rPr>
                <w:rFonts w:ascii="宋体" w:hAnsi="宋体" w:cs="宋体"/>
                <w:kern w:val="0"/>
                <w:sz w:val="20"/>
                <w:szCs w:val="20"/>
              </w:rPr>
            </w:pPr>
            <w:r>
              <w:rPr>
                <w:rFonts w:hint="eastAsia" w:ascii="宋体" w:hAnsi="宋体" w:cs="宋体"/>
                <w:kern w:val="0"/>
                <w:sz w:val="20"/>
                <w:szCs w:val="20"/>
              </w:rPr>
              <w:t>《溴化锂吸收式冷水机组能效限定值及能效等级》（GB29540）</w:t>
            </w:r>
          </w:p>
        </w:tc>
      </w:tr>
      <w:tr w14:paraId="2AE7D3D1">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4CFCD674">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D92992B">
            <w:pPr>
              <w:widowControl/>
              <w:wordWrap w:val="0"/>
              <w:jc w:val="left"/>
              <w:rPr>
                <w:rFonts w:ascii="宋体" w:hAnsi="宋体" w:cs="宋体"/>
                <w:kern w:val="0"/>
                <w:sz w:val="20"/>
                <w:szCs w:val="20"/>
              </w:rPr>
            </w:pPr>
          </w:p>
        </w:tc>
        <w:tc>
          <w:tcPr>
            <w:tcW w:w="1319" w:type="dxa"/>
            <w:vMerge w:val="restart"/>
            <w:tcBorders>
              <w:top w:val="nil"/>
              <w:left w:val="single" w:color="000000" w:sz="8" w:space="0"/>
              <w:bottom w:val="single" w:color="000000" w:sz="8" w:space="0"/>
              <w:right w:val="single" w:color="000000" w:sz="8" w:space="0"/>
            </w:tcBorders>
            <w:vAlign w:val="center"/>
          </w:tcPr>
          <w:p w14:paraId="400C4FD4">
            <w:pPr>
              <w:widowControl/>
              <w:wordWrap w:val="0"/>
              <w:jc w:val="center"/>
              <w:rPr>
                <w:rFonts w:ascii="宋体" w:hAnsi="宋体" w:cs="宋体"/>
                <w:kern w:val="0"/>
                <w:sz w:val="20"/>
                <w:szCs w:val="20"/>
              </w:rPr>
            </w:pPr>
            <w:r>
              <w:rPr>
                <w:rFonts w:hint="eastAsia" w:ascii="宋体" w:hAnsi="宋体" w:cs="宋体"/>
                <w:kern w:val="0"/>
                <w:sz w:val="20"/>
                <w:szCs w:val="20"/>
              </w:rPr>
              <w:t>★A02052305空调机组</w:t>
            </w:r>
          </w:p>
        </w:tc>
        <w:tc>
          <w:tcPr>
            <w:tcW w:w="1622" w:type="dxa"/>
            <w:tcBorders>
              <w:top w:val="nil"/>
              <w:left w:val="nil"/>
              <w:bottom w:val="single" w:color="000000" w:sz="8" w:space="0"/>
              <w:right w:val="single" w:color="000000" w:sz="8" w:space="0"/>
            </w:tcBorders>
            <w:vAlign w:val="center"/>
          </w:tcPr>
          <w:p w14:paraId="11F47B17">
            <w:pPr>
              <w:widowControl/>
              <w:wordWrap w:val="0"/>
              <w:jc w:val="center"/>
              <w:rPr>
                <w:rFonts w:ascii="宋体" w:hAnsi="宋体" w:cs="宋体"/>
                <w:kern w:val="0"/>
                <w:sz w:val="20"/>
                <w:szCs w:val="20"/>
              </w:rPr>
            </w:pPr>
            <w:r>
              <w:rPr>
                <w:rFonts w:hint="eastAsia" w:ascii="宋体" w:hAnsi="宋体" w:cs="宋体"/>
                <w:kern w:val="0"/>
                <w:sz w:val="20"/>
                <w:szCs w:val="20"/>
              </w:rPr>
              <w:t>多联式空调（热泵）机组(制冷量&gt;14000W)</w:t>
            </w:r>
          </w:p>
        </w:tc>
        <w:tc>
          <w:tcPr>
            <w:tcW w:w="4753" w:type="dxa"/>
            <w:tcBorders>
              <w:top w:val="nil"/>
              <w:left w:val="nil"/>
              <w:bottom w:val="single" w:color="000000" w:sz="8" w:space="0"/>
              <w:right w:val="single" w:color="000000" w:sz="8" w:space="0"/>
            </w:tcBorders>
            <w:vAlign w:val="center"/>
          </w:tcPr>
          <w:p w14:paraId="6D320CC9">
            <w:pPr>
              <w:widowControl/>
              <w:wordWrap w:val="0"/>
              <w:jc w:val="left"/>
              <w:rPr>
                <w:rFonts w:ascii="宋体" w:hAnsi="宋体" w:cs="宋体"/>
                <w:kern w:val="0"/>
                <w:sz w:val="20"/>
                <w:szCs w:val="20"/>
              </w:rPr>
            </w:pPr>
            <w:r>
              <w:rPr>
                <w:rFonts w:hint="eastAsia" w:ascii="宋体" w:hAnsi="宋体" w:cs="宋体"/>
                <w:kern w:val="0"/>
                <w:sz w:val="20"/>
                <w:szCs w:val="20"/>
              </w:rPr>
              <w:t>《多联式空调（热泵）机组能效限定值及能源效率等级》（GB21454）</w:t>
            </w:r>
          </w:p>
        </w:tc>
      </w:tr>
      <w:tr w14:paraId="2CB18E8E">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0C013B75">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03CCBB9F">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6FC92712">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65AC655B">
            <w:pPr>
              <w:widowControl/>
              <w:wordWrap w:val="0"/>
              <w:jc w:val="center"/>
              <w:rPr>
                <w:rFonts w:ascii="宋体" w:hAnsi="宋体" w:cs="宋体"/>
                <w:kern w:val="0"/>
                <w:sz w:val="20"/>
                <w:szCs w:val="20"/>
              </w:rPr>
            </w:pPr>
            <w:r>
              <w:rPr>
                <w:rFonts w:hint="eastAsia" w:ascii="宋体" w:hAnsi="宋体" w:cs="宋体"/>
                <w:kern w:val="0"/>
                <w:sz w:val="20"/>
                <w:szCs w:val="20"/>
              </w:rPr>
              <w:t>单元式空气调节机(制冷量&gt;14000W</w:t>
            </w:r>
          </w:p>
        </w:tc>
        <w:tc>
          <w:tcPr>
            <w:tcW w:w="4753" w:type="dxa"/>
            <w:tcBorders>
              <w:top w:val="nil"/>
              <w:left w:val="nil"/>
              <w:bottom w:val="single" w:color="000000" w:sz="8" w:space="0"/>
              <w:right w:val="single" w:color="000000" w:sz="8" w:space="0"/>
            </w:tcBorders>
            <w:vAlign w:val="center"/>
          </w:tcPr>
          <w:p w14:paraId="255FDCC9">
            <w:pPr>
              <w:widowControl/>
              <w:wordWrap w:val="0"/>
              <w:jc w:val="left"/>
              <w:rPr>
                <w:rFonts w:ascii="宋体" w:hAnsi="宋体" w:cs="宋体"/>
                <w:kern w:val="0"/>
                <w:sz w:val="20"/>
                <w:szCs w:val="20"/>
              </w:rPr>
            </w:pPr>
            <w:r>
              <w:rPr>
                <w:rFonts w:hint="eastAsia" w:ascii="宋体" w:hAnsi="宋体" w:cs="宋体"/>
                <w:kern w:val="0"/>
                <w:sz w:val="20"/>
                <w:szCs w:val="20"/>
              </w:rPr>
              <w:t>《单元式空气调节机能效限定值及能效等级》（GB19576）《风管送风式空调机组能效限定值及能效等级》（GB37479）</w:t>
            </w:r>
          </w:p>
        </w:tc>
      </w:tr>
      <w:tr w14:paraId="5E40EB74">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589166FA">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0B4028C5">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4E84CC3D">
            <w:pPr>
              <w:widowControl/>
              <w:wordWrap w:val="0"/>
              <w:jc w:val="center"/>
              <w:rPr>
                <w:rFonts w:ascii="宋体" w:hAnsi="宋体" w:cs="宋体"/>
                <w:kern w:val="0"/>
                <w:sz w:val="20"/>
                <w:szCs w:val="20"/>
              </w:rPr>
            </w:pPr>
            <w:r>
              <w:rPr>
                <w:rFonts w:hint="eastAsia" w:ascii="宋体" w:hAnsi="宋体" w:cs="宋体"/>
                <w:kern w:val="0"/>
                <w:sz w:val="20"/>
                <w:szCs w:val="20"/>
              </w:rPr>
              <w:t>★A02052309专用制冷、空调设备</w:t>
            </w:r>
          </w:p>
        </w:tc>
        <w:tc>
          <w:tcPr>
            <w:tcW w:w="1622" w:type="dxa"/>
            <w:tcBorders>
              <w:top w:val="nil"/>
              <w:left w:val="nil"/>
              <w:bottom w:val="single" w:color="000000" w:sz="8" w:space="0"/>
              <w:right w:val="single" w:color="000000" w:sz="8" w:space="0"/>
            </w:tcBorders>
            <w:vAlign w:val="center"/>
          </w:tcPr>
          <w:p w14:paraId="06BA469A">
            <w:pPr>
              <w:widowControl/>
              <w:wordWrap w:val="0"/>
              <w:jc w:val="center"/>
              <w:rPr>
                <w:rFonts w:ascii="宋体" w:hAnsi="宋体" w:cs="宋体"/>
                <w:kern w:val="0"/>
                <w:sz w:val="20"/>
                <w:szCs w:val="20"/>
              </w:rPr>
            </w:pPr>
            <w:r>
              <w:rPr>
                <w:rFonts w:hint="eastAsia" w:ascii="宋体" w:hAnsi="宋体" w:cs="宋体"/>
                <w:kern w:val="0"/>
                <w:sz w:val="20"/>
                <w:szCs w:val="20"/>
              </w:rPr>
              <w:t>机房空调</w:t>
            </w:r>
          </w:p>
        </w:tc>
        <w:tc>
          <w:tcPr>
            <w:tcW w:w="4753" w:type="dxa"/>
            <w:tcBorders>
              <w:top w:val="nil"/>
              <w:left w:val="nil"/>
              <w:bottom w:val="single" w:color="000000" w:sz="8" w:space="0"/>
              <w:right w:val="single" w:color="000000" w:sz="8" w:space="0"/>
            </w:tcBorders>
            <w:vAlign w:val="center"/>
          </w:tcPr>
          <w:p w14:paraId="1E7728E8">
            <w:pPr>
              <w:widowControl/>
              <w:wordWrap w:val="0"/>
              <w:jc w:val="left"/>
              <w:rPr>
                <w:rFonts w:ascii="宋体" w:hAnsi="宋体" w:cs="宋体"/>
                <w:kern w:val="0"/>
                <w:sz w:val="20"/>
                <w:szCs w:val="20"/>
              </w:rPr>
            </w:pPr>
            <w:r>
              <w:rPr>
                <w:rFonts w:hint="eastAsia" w:ascii="宋体" w:hAnsi="宋体" w:cs="宋体"/>
                <w:kern w:val="0"/>
                <w:sz w:val="20"/>
                <w:szCs w:val="20"/>
              </w:rPr>
              <w:t>《单元式空气调节机能效限定值及能效等级》（GB19576）</w:t>
            </w:r>
          </w:p>
        </w:tc>
      </w:tr>
      <w:tr w14:paraId="556F7F07">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01AC20D6">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2FDF9F2D">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4BD463EB">
            <w:pPr>
              <w:widowControl/>
              <w:wordWrap w:val="0"/>
              <w:jc w:val="center"/>
              <w:rPr>
                <w:rFonts w:ascii="宋体" w:hAnsi="宋体" w:cs="宋体"/>
                <w:kern w:val="0"/>
                <w:sz w:val="20"/>
                <w:szCs w:val="20"/>
              </w:rPr>
            </w:pPr>
            <w:r>
              <w:rPr>
                <w:rFonts w:hint="eastAsia" w:ascii="宋体" w:hAnsi="宋体" w:cs="宋体"/>
                <w:kern w:val="0"/>
                <w:sz w:val="20"/>
                <w:szCs w:val="20"/>
              </w:rPr>
              <w:t>A02052399其他制冷空调设备</w:t>
            </w:r>
          </w:p>
        </w:tc>
        <w:tc>
          <w:tcPr>
            <w:tcW w:w="1622" w:type="dxa"/>
            <w:tcBorders>
              <w:top w:val="nil"/>
              <w:left w:val="nil"/>
              <w:bottom w:val="single" w:color="000000" w:sz="8" w:space="0"/>
              <w:right w:val="single" w:color="000000" w:sz="8" w:space="0"/>
            </w:tcBorders>
            <w:vAlign w:val="center"/>
          </w:tcPr>
          <w:p w14:paraId="3968113B">
            <w:pPr>
              <w:widowControl/>
              <w:wordWrap w:val="0"/>
              <w:jc w:val="center"/>
              <w:rPr>
                <w:rFonts w:ascii="宋体" w:hAnsi="宋体" w:cs="宋体"/>
                <w:kern w:val="0"/>
                <w:sz w:val="20"/>
                <w:szCs w:val="20"/>
              </w:rPr>
            </w:pPr>
            <w:r>
              <w:rPr>
                <w:rFonts w:hint="eastAsia" w:ascii="宋体" w:hAnsi="宋体" w:cs="宋体"/>
                <w:kern w:val="0"/>
                <w:sz w:val="20"/>
                <w:szCs w:val="20"/>
              </w:rPr>
              <w:t>冷却塔</w:t>
            </w:r>
          </w:p>
        </w:tc>
        <w:tc>
          <w:tcPr>
            <w:tcW w:w="4753" w:type="dxa"/>
            <w:tcBorders>
              <w:top w:val="nil"/>
              <w:left w:val="nil"/>
              <w:bottom w:val="single" w:color="000000" w:sz="8" w:space="0"/>
              <w:right w:val="single" w:color="000000" w:sz="8" w:space="0"/>
            </w:tcBorders>
            <w:vAlign w:val="center"/>
          </w:tcPr>
          <w:p w14:paraId="687887A5">
            <w:pPr>
              <w:widowControl/>
              <w:wordWrap w:val="0"/>
              <w:jc w:val="left"/>
              <w:rPr>
                <w:rFonts w:ascii="宋体" w:hAnsi="宋体" w:cs="宋体"/>
                <w:kern w:val="0"/>
                <w:sz w:val="20"/>
                <w:szCs w:val="20"/>
              </w:rPr>
            </w:pPr>
            <w:r>
              <w:rPr>
                <w:rFonts w:hint="eastAsia" w:ascii="宋体" w:hAnsi="宋体" w:cs="宋体"/>
                <w:kern w:val="0"/>
                <w:sz w:val="20"/>
                <w:szCs w:val="20"/>
              </w:rPr>
              <w:t>《机械通风冷却塔第1部分：中小型开式冷却塔》（GB/T7190.1）；《机械通风冷却塔第2部分：大型开式冷却塔》（GB/T7190.2）</w:t>
            </w:r>
          </w:p>
        </w:tc>
      </w:tr>
      <w:tr w14:paraId="26D96966">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2D6158D3">
            <w:pPr>
              <w:widowControl/>
              <w:wordWrap w:val="0"/>
              <w:jc w:val="center"/>
              <w:rPr>
                <w:rFonts w:ascii="宋体" w:hAnsi="宋体" w:cs="宋体"/>
                <w:kern w:val="0"/>
                <w:sz w:val="20"/>
                <w:szCs w:val="20"/>
              </w:rPr>
            </w:pPr>
            <w:r>
              <w:rPr>
                <w:rFonts w:hint="eastAsia" w:ascii="宋体" w:hAnsi="宋体" w:cs="宋体"/>
                <w:kern w:val="0"/>
                <w:sz w:val="20"/>
                <w:szCs w:val="20"/>
              </w:rPr>
              <w:t>7</w:t>
            </w:r>
          </w:p>
        </w:tc>
        <w:tc>
          <w:tcPr>
            <w:tcW w:w="1079" w:type="dxa"/>
            <w:tcBorders>
              <w:top w:val="nil"/>
              <w:left w:val="nil"/>
              <w:bottom w:val="single" w:color="000000" w:sz="8" w:space="0"/>
              <w:right w:val="single" w:color="000000" w:sz="8" w:space="0"/>
            </w:tcBorders>
            <w:vAlign w:val="center"/>
          </w:tcPr>
          <w:p w14:paraId="21662664">
            <w:pPr>
              <w:widowControl/>
              <w:wordWrap w:val="0"/>
              <w:jc w:val="center"/>
              <w:rPr>
                <w:rFonts w:ascii="宋体" w:hAnsi="宋体" w:cs="宋体"/>
                <w:kern w:val="0"/>
                <w:sz w:val="20"/>
                <w:szCs w:val="20"/>
              </w:rPr>
            </w:pPr>
            <w:r>
              <w:rPr>
                <w:rFonts w:hint="eastAsia" w:ascii="宋体" w:hAnsi="宋体" w:cs="宋体"/>
                <w:kern w:val="0"/>
                <w:sz w:val="20"/>
                <w:szCs w:val="20"/>
              </w:rPr>
              <w:t>A020601电机</w:t>
            </w:r>
          </w:p>
        </w:tc>
        <w:tc>
          <w:tcPr>
            <w:tcW w:w="1319" w:type="dxa"/>
            <w:tcBorders>
              <w:top w:val="nil"/>
              <w:left w:val="nil"/>
              <w:bottom w:val="single" w:color="000000" w:sz="8" w:space="0"/>
              <w:right w:val="single" w:color="000000" w:sz="8" w:space="0"/>
            </w:tcBorders>
            <w:vAlign w:val="center"/>
          </w:tcPr>
          <w:p w14:paraId="134DCBD3">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1622" w:type="dxa"/>
            <w:tcBorders>
              <w:top w:val="nil"/>
              <w:left w:val="nil"/>
              <w:bottom w:val="single" w:color="000000" w:sz="8" w:space="0"/>
              <w:right w:val="single" w:color="000000" w:sz="8" w:space="0"/>
            </w:tcBorders>
            <w:vAlign w:val="center"/>
          </w:tcPr>
          <w:p w14:paraId="11819C59">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716382EC">
            <w:pPr>
              <w:widowControl/>
              <w:wordWrap w:val="0"/>
              <w:jc w:val="left"/>
              <w:rPr>
                <w:rFonts w:ascii="宋体" w:hAnsi="宋体" w:cs="宋体"/>
                <w:kern w:val="0"/>
                <w:sz w:val="20"/>
                <w:szCs w:val="20"/>
              </w:rPr>
            </w:pPr>
            <w:r>
              <w:rPr>
                <w:rFonts w:hint="eastAsia" w:ascii="宋体" w:hAnsi="宋体" w:cs="宋体"/>
                <w:kern w:val="0"/>
                <w:sz w:val="20"/>
                <w:szCs w:val="20"/>
              </w:rPr>
              <w:t>《中小型三相异步电动机能效限定值及能效等级》（GB18613）</w:t>
            </w:r>
          </w:p>
        </w:tc>
      </w:tr>
      <w:tr w14:paraId="15C6127C">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24B9C7E1">
            <w:pPr>
              <w:widowControl/>
              <w:wordWrap w:val="0"/>
              <w:jc w:val="center"/>
              <w:rPr>
                <w:rFonts w:ascii="宋体" w:hAnsi="宋体" w:cs="宋体"/>
                <w:kern w:val="0"/>
                <w:sz w:val="20"/>
                <w:szCs w:val="20"/>
              </w:rPr>
            </w:pPr>
            <w:r>
              <w:rPr>
                <w:rFonts w:hint="eastAsia" w:ascii="宋体" w:hAnsi="宋体" w:cs="宋体"/>
                <w:kern w:val="0"/>
                <w:sz w:val="20"/>
                <w:szCs w:val="20"/>
              </w:rPr>
              <w:t>8</w:t>
            </w:r>
          </w:p>
        </w:tc>
        <w:tc>
          <w:tcPr>
            <w:tcW w:w="1079" w:type="dxa"/>
            <w:tcBorders>
              <w:top w:val="nil"/>
              <w:left w:val="nil"/>
              <w:bottom w:val="single" w:color="000000" w:sz="8" w:space="0"/>
              <w:right w:val="single" w:color="000000" w:sz="8" w:space="0"/>
            </w:tcBorders>
            <w:vAlign w:val="center"/>
          </w:tcPr>
          <w:p w14:paraId="419568C9">
            <w:pPr>
              <w:widowControl/>
              <w:wordWrap w:val="0"/>
              <w:jc w:val="center"/>
              <w:rPr>
                <w:rFonts w:ascii="宋体" w:hAnsi="宋体" w:cs="宋体"/>
                <w:kern w:val="0"/>
                <w:sz w:val="20"/>
                <w:szCs w:val="20"/>
              </w:rPr>
            </w:pPr>
            <w:r>
              <w:rPr>
                <w:rFonts w:hint="eastAsia" w:ascii="宋体" w:hAnsi="宋体" w:cs="宋体"/>
                <w:kern w:val="0"/>
                <w:sz w:val="20"/>
                <w:szCs w:val="20"/>
              </w:rPr>
              <w:t>A020602变压器</w:t>
            </w:r>
          </w:p>
        </w:tc>
        <w:tc>
          <w:tcPr>
            <w:tcW w:w="1319" w:type="dxa"/>
            <w:tcBorders>
              <w:top w:val="nil"/>
              <w:left w:val="nil"/>
              <w:bottom w:val="single" w:color="000000" w:sz="8" w:space="0"/>
              <w:right w:val="single" w:color="000000" w:sz="8" w:space="0"/>
            </w:tcBorders>
            <w:vAlign w:val="center"/>
          </w:tcPr>
          <w:p w14:paraId="6B310241">
            <w:pPr>
              <w:widowControl/>
              <w:wordWrap w:val="0"/>
              <w:jc w:val="center"/>
              <w:rPr>
                <w:rFonts w:ascii="宋体" w:hAnsi="宋体" w:cs="宋体"/>
                <w:kern w:val="0"/>
                <w:sz w:val="20"/>
                <w:szCs w:val="20"/>
              </w:rPr>
            </w:pPr>
            <w:r>
              <w:rPr>
                <w:rFonts w:hint="eastAsia" w:ascii="宋体" w:hAnsi="宋体" w:cs="宋体"/>
                <w:kern w:val="0"/>
                <w:sz w:val="20"/>
                <w:szCs w:val="20"/>
              </w:rPr>
              <w:t>配电变压器</w:t>
            </w:r>
          </w:p>
        </w:tc>
        <w:tc>
          <w:tcPr>
            <w:tcW w:w="1622" w:type="dxa"/>
            <w:tcBorders>
              <w:top w:val="nil"/>
              <w:left w:val="nil"/>
              <w:bottom w:val="single" w:color="000000" w:sz="8" w:space="0"/>
              <w:right w:val="single" w:color="000000" w:sz="8" w:space="0"/>
            </w:tcBorders>
            <w:vAlign w:val="center"/>
          </w:tcPr>
          <w:p w14:paraId="72E09431">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1A6AE783">
            <w:pPr>
              <w:widowControl/>
              <w:wordWrap w:val="0"/>
              <w:jc w:val="left"/>
              <w:rPr>
                <w:rFonts w:ascii="宋体" w:hAnsi="宋体" w:cs="宋体"/>
                <w:kern w:val="0"/>
                <w:sz w:val="20"/>
                <w:szCs w:val="20"/>
              </w:rPr>
            </w:pPr>
            <w:r>
              <w:rPr>
                <w:rFonts w:hint="eastAsia" w:ascii="宋体" w:hAnsi="宋体" w:cs="宋体"/>
                <w:kern w:val="0"/>
                <w:sz w:val="20"/>
                <w:szCs w:val="20"/>
              </w:rPr>
              <w:t>《三相配电变压器能效限定值及能效等级》（GB20052）</w:t>
            </w:r>
          </w:p>
        </w:tc>
      </w:tr>
      <w:tr w14:paraId="7F8DD39B">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12895B24">
            <w:pPr>
              <w:widowControl/>
              <w:wordWrap w:val="0"/>
              <w:jc w:val="center"/>
              <w:rPr>
                <w:rFonts w:ascii="宋体" w:hAnsi="宋体" w:cs="宋体"/>
                <w:kern w:val="0"/>
                <w:sz w:val="20"/>
                <w:szCs w:val="20"/>
              </w:rPr>
            </w:pPr>
            <w:r>
              <w:rPr>
                <w:rFonts w:hint="eastAsia" w:ascii="宋体" w:hAnsi="宋体" w:cs="宋体"/>
                <w:kern w:val="0"/>
                <w:sz w:val="20"/>
                <w:szCs w:val="20"/>
              </w:rPr>
              <w:t>9</w:t>
            </w:r>
          </w:p>
        </w:tc>
        <w:tc>
          <w:tcPr>
            <w:tcW w:w="1079" w:type="dxa"/>
            <w:tcBorders>
              <w:top w:val="nil"/>
              <w:left w:val="nil"/>
              <w:bottom w:val="single" w:color="000000" w:sz="8" w:space="0"/>
              <w:right w:val="single" w:color="000000" w:sz="8" w:space="0"/>
            </w:tcBorders>
            <w:vAlign w:val="center"/>
          </w:tcPr>
          <w:p w14:paraId="5377208A">
            <w:pPr>
              <w:widowControl/>
              <w:wordWrap w:val="0"/>
              <w:jc w:val="center"/>
              <w:rPr>
                <w:rFonts w:ascii="宋体" w:hAnsi="宋体" w:cs="宋体"/>
                <w:kern w:val="0"/>
                <w:sz w:val="20"/>
                <w:szCs w:val="20"/>
              </w:rPr>
            </w:pPr>
            <w:r>
              <w:rPr>
                <w:rFonts w:hint="eastAsia" w:ascii="宋体" w:hAnsi="宋体" w:cs="宋体"/>
                <w:kern w:val="0"/>
                <w:sz w:val="20"/>
                <w:szCs w:val="20"/>
              </w:rPr>
              <w:t>★A020609镇流器</w:t>
            </w:r>
          </w:p>
        </w:tc>
        <w:tc>
          <w:tcPr>
            <w:tcW w:w="1319" w:type="dxa"/>
            <w:tcBorders>
              <w:top w:val="nil"/>
              <w:left w:val="nil"/>
              <w:bottom w:val="single" w:color="000000" w:sz="8" w:space="0"/>
              <w:right w:val="single" w:color="000000" w:sz="8" w:space="0"/>
            </w:tcBorders>
            <w:vAlign w:val="center"/>
          </w:tcPr>
          <w:p w14:paraId="71D4F166">
            <w:pPr>
              <w:widowControl/>
              <w:wordWrap w:val="0"/>
              <w:jc w:val="center"/>
              <w:rPr>
                <w:rFonts w:ascii="宋体" w:hAnsi="宋体" w:cs="宋体"/>
                <w:kern w:val="0"/>
                <w:sz w:val="20"/>
                <w:szCs w:val="20"/>
              </w:rPr>
            </w:pPr>
            <w:r>
              <w:rPr>
                <w:rFonts w:hint="eastAsia" w:ascii="宋体" w:hAnsi="宋体" w:cs="宋体"/>
                <w:kern w:val="0"/>
                <w:sz w:val="20"/>
                <w:szCs w:val="20"/>
              </w:rPr>
              <w:t>管型荧光灯镇流器</w:t>
            </w:r>
          </w:p>
        </w:tc>
        <w:tc>
          <w:tcPr>
            <w:tcW w:w="1622" w:type="dxa"/>
            <w:tcBorders>
              <w:top w:val="nil"/>
              <w:left w:val="nil"/>
              <w:bottom w:val="single" w:color="000000" w:sz="8" w:space="0"/>
              <w:right w:val="single" w:color="000000" w:sz="8" w:space="0"/>
            </w:tcBorders>
            <w:vAlign w:val="center"/>
          </w:tcPr>
          <w:p w14:paraId="098F48F2">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280AFA48">
            <w:pPr>
              <w:widowControl/>
              <w:wordWrap w:val="0"/>
              <w:jc w:val="left"/>
              <w:rPr>
                <w:rFonts w:ascii="宋体" w:hAnsi="宋体" w:cs="宋体"/>
                <w:kern w:val="0"/>
                <w:sz w:val="20"/>
                <w:szCs w:val="20"/>
              </w:rPr>
            </w:pPr>
            <w:r>
              <w:rPr>
                <w:rFonts w:hint="eastAsia" w:ascii="宋体" w:hAnsi="宋体" w:cs="宋体"/>
                <w:kern w:val="0"/>
                <w:sz w:val="20"/>
                <w:szCs w:val="20"/>
              </w:rPr>
              <w:t>《管形荧光灯镇流器能效限定值及能效等级》（GB17896）</w:t>
            </w:r>
          </w:p>
        </w:tc>
      </w:tr>
      <w:tr w14:paraId="31CBF234">
        <w:tblPrEx>
          <w:tblCellMar>
            <w:top w:w="0" w:type="dxa"/>
            <w:left w:w="108" w:type="dxa"/>
            <w:bottom w:w="0" w:type="dxa"/>
            <w:right w:w="108" w:type="dxa"/>
          </w:tblCellMar>
        </w:tblPrEx>
        <w:trPr>
          <w:trHeight w:val="653" w:hRule="atLeast"/>
        </w:trPr>
        <w:tc>
          <w:tcPr>
            <w:tcW w:w="659" w:type="dxa"/>
            <w:vMerge w:val="restart"/>
            <w:tcBorders>
              <w:top w:val="nil"/>
              <w:left w:val="single" w:color="000000" w:sz="8" w:space="0"/>
              <w:bottom w:val="single" w:color="000000" w:sz="8" w:space="0"/>
              <w:right w:val="single" w:color="000000" w:sz="8" w:space="0"/>
            </w:tcBorders>
            <w:vAlign w:val="center"/>
          </w:tcPr>
          <w:p w14:paraId="681E6893">
            <w:pPr>
              <w:widowControl/>
              <w:wordWrap w:val="0"/>
              <w:jc w:val="center"/>
              <w:rPr>
                <w:rFonts w:ascii="宋体" w:hAnsi="宋体" w:cs="宋体"/>
                <w:kern w:val="0"/>
                <w:sz w:val="20"/>
                <w:szCs w:val="20"/>
              </w:rPr>
            </w:pPr>
            <w:r>
              <w:rPr>
                <w:rFonts w:hint="eastAsia" w:ascii="宋体" w:hAnsi="宋体" w:cs="宋体"/>
                <w:kern w:val="0"/>
                <w:sz w:val="20"/>
                <w:szCs w:val="20"/>
              </w:rPr>
              <w:t>10</w:t>
            </w:r>
          </w:p>
        </w:tc>
        <w:tc>
          <w:tcPr>
            <w:tcW w:w="1079" w:type="dxa"/>
            <w:vMerge w:val="restart"/>
            <w:tcBorders>
              <w:top w:val="nil"/>
              <w:left w:val="single" w:color="000000" w:sz="8" w:space="0"/>
              <w:bottom w:val="single" w:color="000000" w:sz="8" w:space="0"/>
              <w:right w:val="single" w:color="000000" w:sz="8" w:space="0"/>
            </w:tcBorders>
            <w:vAlign w:val="center"/>
          </w:tcPr>
          <w:p w14:paraId="45B62D4A">
            <w:pPr>
              <w:widowControl/>
              <w:wordWrap w:val="0"/>
              <w:jc w:val="center"/>
              <w:rPr>
                <w:rFonts w:ascii="宋体" w:hAnsi="宋体" w:cs="宋体"/>
                <w:kern w:val="0"/>
                <w:sz w:val="20"/>
                <w:szCs w:val="20"/>
              </w:rPr>
            </w:pPr>
            <w:r>
              <w:rPr>
                <w:rFonts w:hint="eastAsia" w:ascii="宋体" w:hAnsi="宋体" w:cs="宋体"/>
                <w:kern w:val="0"/>
                <w:sz w:val="20"/>
                <w:szCs w:val="20"/>
              </w:rPr>
              <w:t>A020618生活用电器</w:t>
            </w:r>
          </w:p>
        </w:tc>
        <w:tc>
          <w:tcPr>
            <w:tcW w:w="1319" w:type="dxa"/>
            <w:tcBorders>
              <w:top w:val="nil"/>
              <w:left w:val="nil"/>
              <w:bottom w:val="single" w:color="000000" w:sz="8" w:space="0"/>
              <w:right w:val="single" w:color="000000" w:sz="8" w:space="0"/>
            </w:tcBorders>
            <w:vAlign w:val="center"/>
          </w:tcPr>
          <w:p w14:paraId="2CC923CD">
            <w:pPr>
              <w:widowControl/>
              <w:wordWrap w:val="0"/>
              <w:jc w:val="center"/>
              <w:rPr>
                <w:rFonts w:ascii="宋体" w:hAnsi="宋体" w:cs="宋体"/>
                <w:kern w:val="0"/>
                <w:sz w:val="20"/>
                <w:szCs w:val="20"/>
              </w:rPr>
            </w:pPr>
            <w:r>
              <w:rPr>
                <w:rFonts w:hint="eastAsia" w:ascii="宋体" w:hAnsi="宋体" w:cs="宋体"/>
                <w:kern w:val="0"/>
                <w:sz w:val="20"/>
                <w:szCs w:val="20"/>
              </w:rPr>
              <w:t>A0206180101电冰箱</w:t>
            </w:r>
          </w:p>
        </w:tc>
        <w:tc>
          <w:tcPr>
            <w:tcW w:w="1622" w:type="dxa"/>
            <w:tcBorders>
              <w:top w:val="nil"/>
              <w:left w:val="nil"/>
              <w:bottom w:val="single" w:color="000000" w:sz="8" w:space="0"/>
              <w:right w:val="single" w:color="000000" w:sz="8" w:space="0"/>
            </w:tcBorders>
            <w:vAlign w:val="center"/>
          </w:tcPr>
          <w:p w14:paraId="6C26FC5E">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7FA90B7E">
            <w:pPr>
              <w:widowControl/>
              <w:wordWrap w:val="0"/>
              <w:jc w:val="left"/>
              <w:rPr>
                <w:rFonts w:ascii="宋体" w:hAnsi="宋体" w:cs="宋体"/>
                <w:kern w:val="0"/>
                <w:sz w:val="20"/>
                <w:szCs w:val="20"/>
              </w:rPr>
            </w:pPr>
            <w:r>
              <w:rPr>
                <w:rFonts w:hint="eastAsia" w:ascii="宋体" w:hAnsi="宋体" w:cs="宋体"/>
                <w:kern w:val="0"/>
                <w:sz w:val="20"/>
                <w:szCs w:val="20"/>
              </w:rPr>
              <w:t>《家用电冰箱耗电量限定值及能效等级》（GB12021.2）</w:t>
            </w:r>
          </w:p>
        </w:tc>
      </w:tr>
      <w:tr w14:paraId="31C108C7">
        <w:tblPrEx>
          <w:tblCellMar>
            <w:top w:w="0" w:type="dxa"/>
            <w:left w:w="108" w:type="dxa"/>
            <w:bottom w:w="0" w:type="dxa"/>
            <w:right w:w="108" w:type="dxa"/>
          </w:tblCellMar>
        </w:tblPrEx>
        <w:trPr>
          <w:trHeight w:val="1287" w:hRule="atLeast"/>
        </w:trPr>
        <w:tc>
          <w:tcPr>
            <w:tcW w:w="659" w:type="dxa"/>
            <w:vMerge w:val="continue"/>
            <w:tcBorders>
              <w:top w:val="nil"/>
              <w:left w:val="single" w:color="000000" w:sz="8" w:space="0"/>
              <w:bottom w:val="single" w:color="000000" w:sz="8" w:space="0"/>
              <w:right w:val="single" w:color="000000" w:sz="8" w:space="0"/>
            </w:tcBorders>
            <w:vAlign w:val="center"/>
          </w:tcPr>
          <w:p w14:paraId="20AE4CC5">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288B0453">
            <w:pPr>
              <w:widowControl/>
              <w:wordWrap w:val="0"/>
              <w:jc w:val="left"/>
              <w:rPr>
                <w:rFonts w:ascii="宋体" w:hAnsi="宋体" w:cs="宋体"/>
                <w:kern w:val="0"/>
                <w:sz w:val="20"/>
                <w:szCs w:val="20"/>
              </w:rPr>
            </w:pPr>
          </w:p>
        </w:tc>
        <w:tc>
          <w:tcPr>
            <w:tcW w:w="1319" w:type="dxa"/>
            <w:vMerge w:val="restart"/>
            <w:tcBorders>
              <w:top w:val="nil"/>
              <w:left w:val="single" w:color="000000" w:sz="8" w:space="0"/>
              <w:bottom w:val="single" w:color="000000" w:sz="8" w:space="0"/>
              <w:right w:val="single" w:color="000000" w:sz="8" w:space="0"/>
            </w:tcBorders>
            <w:vAlign w:val="center"/>
          </w:tcPr>
          <w:p w14:paraId="2EF4E34C">
            <w:pPr>
              <w:widowControl/>
              <w:wordWrap w:val="0"/>
              <w:jc w:val="center"/>
              <w:rPr>
                <w:rFonts w:ascii="宋体" w:hAnsi="宋体" w:cs="宋体"/>
                <w:kern w:val="0"/>
                <w:sz w:val="20"/>
                <w:szCs w:val="20"/>
              </w:rPr>
            </w:pPr>
            <w:r>
              <w:rPr>
                <w:rFonts w:hint="eastAsia" w:ascii="宋体" w:hAnsi="宋体" w:cs="宋体"/>
                <w:kern w:val="0"/>
                <w:sz w:val="20"/>
                <w:szCs w:val="20"/>
              </w:rPr>
              <w:t>★A0206180203空调机</w:t>
            </w:r>
          </w:p>
        </w:tc>
        <w:tc>
          <w:tcPr>
            <w:tcW w:w="1622" w:type="dxa"/>
            <w:tcBorders>
              <w:top w:val="nil"/>
              <w:left w:val="nil"/>
              <w:bottom w:val="single" w:color="000000" w:sz="8" w:space="0"/>
              <w:right w:val="single" w:color="000000" w:sz="8" w:space="0"/>
            </w:tcBorders>
            <w:vAlign w:val="center"/>
          </w:tcPr>
          <w:p w14:paraId="5A84BF1D">
            <w:pPr>
              <w:widowControl/>
              <w:wordWrap w:val="0"/>
              <w:jc w:val="center"/>
              <w:rPr>
                <w:rFonts w:ascii="宋体" w:hAnsi="宋体" w:cs="宋体"/>
                <w:kern w:val="0"/>
                <w:sz w:val="20"/>
                <w:szCs w:val="20"/>
              </w:rPr>
            </w:pPr>
            <w:r>
              <w:rPr>
                <w:rFonts w:hint="eastAsia" w:ascii="宋体" w:hAnsi="宋体" w:cs="宋体"/>
                <w:kern w:val="0"/>
                <w:sz w:val="20"/>
                <w:szCs w:val="20"/>
              </w:rPr>
              <w:t>房间空气调节器</w:t>
            </w:r>
          </w:p>
        </w:tc>
        <w:tc>
          <w:tcPr>
            <w:tcW w:w="4753" w:type="dxa"/>
            <w:tcBorders>
              <w:top w:val="nil"/>
              <w:left w:val="nil"/>
              <w:bottom w:val="single" w:color="000000" w:sz="8" w:space="0"/>
              <w:right w:val="single" w:color="000000" w:sz="8" w:space="0"/>
            </w:tcBorders>
            <w:vAlign w:val="center"/>
          </w:tcPr>
          <w:p w14:paraId="173AAB1F">
            <w:pPr>
              <w:widowControl/>
              <w:wordWrap w:val="0"/>
              <w:jc w:val="left"/>
              <w:rPr>
                <w:rFonts w:ascii="宋体" w:hAnsi="宋体" w:cs="宋体"/>
                <w:kern w:val="0"/>
                <w:sz w:val="20"/>
                <w:szCs w:val="20"/>
              </w:rPr>
            </w:pPr>
            <w:r>
              <w:rPr>
                <w:rFonts w:hint="eastAsia" w:ascii="宋体" w:hAnsi="宋体" w:cs="宋体"/>
                <w:kern w:val="0"/>
                <w:sz w:val="20"/>
                <w:szCs w:val="20"/>
              </w:rPr>
              <w:t>《转速可控型房间空气调节器能效限定值及能效等级》（GB21455-2013），待2019年修订发布后，按《房间空气调节器能效限定值及能效等级》（GB21455-2019实施。</w:t>
            </w:r>
          </w:p>
        </w:tc>
      </w:tr>
      <w:tr w14:paraId="138146DF">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24F9A0BD">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160DF6CE">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23F5FA06">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74DF9A67">
            <w:pPr>
              <w:widowControl/>
              <w:wordWrap w:val="0"/>
              <w:jc w:val="center"/>
              <w:rPr>
                <w:rFonts w:ascii="宋体" w:hAnsi="宋体" w:cs="宋体"/>
                <w:kern w:val="0"/>
                <w:sz w:val="20"/>
                <w:szCs w:val="20"/>
              </w:rPr>
            </w:pPr>
            <w:r>
              <w:rPr>
                <w:rFonts w:hint="eastAsia" w:ascii="宋体" w:hAnsi="宋体" w:cs="宋体"/>
                <w:kern w:val="0"/>
                <w:sz w:val="20"/>
                <w:szCs w:val="20"/>
              </w:rPr>
              <w:t>多联式空调（热泵）机组（制冷量≤14000W）</w:t>
            </w:r>
          </w:p>
        </w:tc>
        <w:tc>
          <w:tcPr>
            <w:tcW w:w="4753" w:type="dxa"/>
            <w:tcBorders>
              <w:top w:val="nil"/>
              <w:left w:val="nil"/>
              <w:bottom w:val="single" w:color="000000" w:sz="8" w:space="0"/>
              <w:right w:val="single" w:color="000000" w:sz="8" w:space="0"/>
            </w:tcBorders>
            <w:vAlign w:val="center"/>
          </w:tcPr>
          <w:p w14:paraId="154F32BC">
            <w:pPr>
              <w:widowControl/>
              <w:wordWrap w:val="0"/>
              <w:jc w:val="left"/>
              <w:rPr>
                <w:rFonts w:ascii="宋体" w:hAnsi="宋体" w:cs="宋体"/>
                <w:kern w:val="0"/>
                <w:sz w:val="20"/>
                <w:szCs w:val="20"/>
              </w:rPr>
            </w:pPr>
            <w:r>
              <w:rPr>
                <w:rFonts w:hint="eastAsia" w:ascii="宋体" w:hAnsi="宋体" w:cs="宋体"/>
                <w:kern w:val="0"/>
                <w:sz w:val="20"/>
                <w:szCs w:val="20"/>
              </w:rPr>
              <w:t>《多联式空调（热泵）机组能效限定值及能源效率等级》（GB21454）</w:t>
            </w:r>
          </w:p>
        </w:tc>
      </w:tr>
      <w:tr w14:paraId="410D62FB">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34A6FBEA">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5099A7F5">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6CBAC944">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7085F74C">
            <w:pPr>
              <w:widowControl/>
              <w:wordWrap w:val="0"/>
              <w:jc w:val="center"/>
              <w:rPr>
                <w:rFonts w:ascii="宋体" w:hAnsi="宋体" w:cs="宋体"/>
                <w:kern w:val="0"/>
                <w:sz w:val="20"/>
                <w:szCs w:val="20"/>
              </w:rPr>
            </w:pPr>
            <w:r>
              <w:rPr>
                <w:rFonts w:hint="eastAsia" w:ascii="宋体" w:hAnsi="宋体" w:cs="宋体"/>
                <w:kern w:val="0"/>
                <w:sz w:val="20"/>
                <w:szCs w:val="20"/>
              </w:rPr>
              <w:t>单元式空气调节机(制冷量≤14000W)</w:t>
            </w:r>
          </w:p>
        </w:tc>
        <w:tc>
          <w:tcPr>
            <w:tcW w:w="4753" w:type="dxa"/>
            <w:tcBorders>
              <w:top w:val="nil"/>
              <w:left w:val="nil"/>
              <w:bottom w:val="single" w:color="000000" w:sz="8" w:space="0"/>
              <w:right w:val="single" w:color="000000" w:sz="8" w:space="0"/>
            </w:tcBorders>
            <w:vAlign w:val="center"/>
          </w:tcPr>
          <w:p w14:paraId="60857A2A">
            <w:pPr>
              <w:widowControl/>
              <w:wordWrap w:val="0"/>
              <w:jc w:val="left"/>
              <w:rPr>
                <w:rFonts w:ascii="宋体" w:hAnsi="宋体" w:cs="宋体"/>
                <w:kern w:val="0"/>
                <w:sz w:val="20"/>
                <w:szCs w:val="20"/>
              </w:rPr>
            </w:pPr>
            <w:r>
              <w:rPr>
                <w:rFonts w:hint="eastAsia" w:ascii="宋体" w:hAnsi="宋体" w:cs="宋体"/>
                <w:kern w:val="0"/>
                <w:sz w:val="20"/>
                <w:szCs w:val="20"/>
              </w:rPr>
              <w:t>《单元式空气调节机能效限定值及能源效率等级》（GB19576）《风管送风式空调机组能效限定值及能效等级》（GB37479）</w:t>
            </w:r>
          </w:p>
        </w:tc>
      </w:tr>
      <w:tr w14:paraId="5342FADE">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3843DCE4">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417062B">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04F33E0B">
            <w:pPr>
              <w:widowControl/>
              <w:wordWrap w:val="0"/>
              <w:jc w:val="center"/>
              <w:rPr>
                <w:rFonts w:ascii="宋体" w:hAnsi="宋体" w:cs="宋体"/>
                <w:kern w:val="0"/>
                <w:sz w:val="20"/>
                <w:szCs w:val="20"/>
              </w:rPr>
            </w:pPr>
            <w:r>
              <w:rPr>
                <w:rFonts w:hint="eastAsia" w:ascii="宋体" w:hAnsi="宋体" w:cs="宋体"/>
                <w:kern w:val="0"/>
                <w:sz w:val="20"/>
                <w:szCs w:val="20"/>
              </w:rPr>
              <w:t>A0206180301洗衣机</w:t>
            </w:r>
          </w:p>
        </w:tc>
        <w:tc>
          <w:tcPr>
            <w:tcW w:w="1622" w:type="dxa"/>
            <w:tcBorders>
              <w:top w:val="nil"/>
              <w:left w:val="nil"/>
              <w:bottom w:val="single" w:color="000000" w:sz="8" w:space="0"/>
              <w:right w:val="single" w:color="000000" w:sz="8" w:space="0"/>
            </w:tcBorders>
            <w:vAlign w:val="center"/>
          </w:tcPr>
          <w:p w14:paraId="1ED3B9D5">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7B4A7C12">
            <w:pPr>
              <w:widowControl/>
              <w:wordWrap w:val="0"/>
              <w:jc w:val="left"/>
              <w:rPr>
                <w:rFonts w:ascii="宋体" w:hAnsi="宋体" w:cs="宋体"/>
                <w:kern w:val="0"/>
                <w:sz w:val="20"/>
                <w:szCs w:val="20"/>
              </w:rPr>
            </w:pPr>
            <w:r>
              <w:rPr>
                <w:rFonts w:hint="eastAsia" w:ascii="宋体" w:hAnsi="宋体" w:cs="宋体"/>
                <w:kern w:val="0"/>
                <w:sz w:val="20"/>
                <w:szCs w:val="20"/>
              </w:rPr>
              <w:t>《电动洗衣机能效水效限定值及等级》（GB12021.4）</w:t>
            </w:r>
          </w:p>
        </w:tc>
      </w:tr>
      <w:tr w14:paraId="778E2435">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6E62A9AC">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765415C4">
            <w:pPr>
              <w:widowControl/>
              <w:wordWrap w:val="0"/>
              <w:jc w:val="left"/>
              <w:rPr>
                <w:rFonts w:ascii="宋体" w:hAnsi="宋体" w:cs="宋体"/>
                <w:kern w:val="0"/>
                <w:sz w:val="20"/>
                <w:szCs w:val="20"/>
              </w:rPr>
            </w:pPr>
          </w:p>
        </w:tc>
        <w:tc>
          <w:tcPr>
            <w:tcW w:w="1319" w:type="dxa"/>
            <w:vMerge w:val="restart"/>
            <w:tcBorders>
              <w:top w:val="nil"/>
              <w:left w:val="single" w:color="000000" w:sz="8" w:space="0"/>
              <w:bottom w:val="single" w:color="000000" w:sz="8" w:space="0"/>
              <w:right w:val="single" w:color="000000" w:sz="8" w:space="0"/>
            </w:tcBorders>
            <w:vAlign w:val="center"/>
          </w:tcPr>
          <w:p w14:paraId="52C6D9F9">
            <w:pPr>
              <w:widowControl/>
              <w:wordWrap w:val="0"/>
              <w:jc w:val="center"/>
              <w:rPr>
                <w:rFonts w:ascii="宋体" w:hAnsi="宋体" w:cs="宋体"/>
                <w:kern w:val="0"/>
                <w:sz w:val="20"/>
                <w:szCs w:val="20"/>
              </w:rPr>
            </w:pPr>
            <w:r>
              <w:rPr>
                <w:rFonts w:hint="eastAsia" w:ascii="宋体" w:hAnsi="宋体" w:cs="宋体"/>
                <w:kern w:val="0"/>
                <w:sz w:val="20"/>
                <w:szCs w:val="20"/>
              </w:rPr>
              <w:t>A02061808热水器</w:t>
            </w:r>
          </w:p>
        </w:tc>
        <w:tc>
          <w:tcPr>
            <w:tcW w:w="1622" w:type="dxa"/>
            <w:tcBorders>
              <w:top w:val="nil"/>
              <w:left w:val="nil"/>
              <w:bottom w:val="single" w:color="000000" w:sz="8" w:space="0"/>
              <w:right w:val="single" w:color="000000" w:sz="8" w:space="0"/>
            </w:tcBorders>
            <w:vAlign w:val="center"/>
          </w:tcPr>
          <w:p w14:paraId="38B030BA">
            <w:pPr>
              <w:widowControl/>
              <w:wordWrap w:val="0"/>
              <w:jc w:val="center"/>
              <w:rPr>
                <w:rFonts w:ascii="宋体" w:hAnsi="宋体" w:cs="宋体"/>
                <w:kern w:val="0"/>
                <w:sz w:val="20"/>
                <w:szCs w:val="20"/>
              </w:rPr>
            </w:pPr>
            <w:r>
              <w:rPr>
                <w:rFonts w:hint="eastAsia" w:ascii="宋体" w:hAnsi="宋体" w:cs="宋体"/>
                <w:kern w:val="0"/>
                <w:sz w:val="20"/>
                <w:szCs w:val="20"/>
              </w:rPr>
              <w:t>★电热水器</w:t>
            </w:r>
          </w:p>
        </w:tc>
        <w:tc>
          <w:tcPr>
            <w:tcW w:w="4753" w:type="dxa"/>
            <w:tcBorders>
              <w:top w:val="nil"/>
              <w:left w:val="nil"/>
              <w:bottom w:val="single" w:color="000000" w:sz="8" w:space="0"/>
              <w:right w:val="single" w:color="000000" w:sz="8" w:space="0"/>
            </w:tcBorders>
            <w:vAlign w:val="center"/>
          </w:tcPr>
          <w:p w14:paraId="0B3DE05C">
            <w:pPr>
              <w:widowControl/>
              <w:wordWrap w:val="0"/>
              <w:jc w:val="left"/>
              <w:rPr>
                <w:rFonts w:ascii="宋体" w:hAnsi="宋体" w:cs="宋体"/>
                <w:kern w:val="0"/>
                <w:sz w:val="20"/>
                <w:szCs w:val="20"/>
              </w:rPr>
            </w:pPr>
            <w:r>
              <w:rPr>
                <w:rFonts w:hint="eastAsia" w:ascii="宋体" w:hAnsi="宋体" w:cs="宋体"/>
                <w:kern w:val="0"/>
                <w:sz w:val="20"/>
                <w:szCs w:val="20"/>
              </w:rPr>
              <w:t>《储水式电热水器能效限定值及能效等级》（GB21519）</w:t>
            </w:r>
          </w:p>
        </w:tc>
      </w:tr>
      <w:tr w14:paraId="334C3763">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0884206B">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28CB642">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67D23E63">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4B26C553">
            <w:pPr>
              <w:widowControl/>
              <w:wordWrap w:val="0"/>
              <w:jc w:val="center"/>
              <w:rPr>
                <w:rFonts w:ascii="宋体" w:hAnsi="宋体" w:cs="宋体"/>
                <w:kern w:val="0"/>
                <w:sz w:val="20"/>
                <w:szCs w:val="20"/>
              </w:rPr>
            </w:pPr>
            <w:r>
              <w:rPr>
                <w:rFonts w:hint="eastAsia" w:ascii="宋体" w:hAnsi="宋体" w:cs="宋体"/>
                <w:kern w:val="0"/>
                <w:sz w:val="20"/>
                <w:szCs w:val="20"/>
              </w:rPr>
              <w:t>燃气热水器</w:t>
            </w:r>
          </w:p>
        </w:tc>
        <w:tc>
          <w:tcPr>
            <w:tcW w:w="4753" w:type="dxa"/>
            <w:tcBorders>
              <w:top w:val="nil"/>
              <w:left w:val="nil"/>
              <w:bottom w:val="single" w:color="000000" w:sz="8" w:space="0"/>
              <w:right w:val="single" w:color="000000" w:sz="8" w:space="0"/>
            </w:tcBorders>
            <w:vAlign w:val="center"/>
          </w:tcPr>
          <w:p w14:paraId="102BD0EF">
            <w:pPr>
              <w:widowControl/>
              <w:wordWrap w:val="0"/>
              <w:jc w:val="left"/>
              <w:rPr>
                <w:rFonts w:ascii="宋体" w:hAnsi="宋体" w:cs="宋体"/>
                <w:kern w:val="0"/>
                <w:sz w:val="20"/>
                <w:szCs w:val="20"/>
              </w:rPr>
            </w:pPr>
            <w:r>
              <w:rPr>
                <w:rFonts w:hint="eastAsia" w:ascii="宋体" w:hAnsi="宋体" w:cs="宋体"/>
                <w:kern w:val="0"/>
                <w:sz w:val="20"/>
                <w:szCs w:val="20"/>
              </w:rPr>
              <w:t>《家用燃气快速热水器和燃气采暖热水炉能效限定值及能效等级》（GB20665）</w:t>
            </w:r>
          </w:p>
        </w:tc>
      </w:tr>
      <w:tr w14:paraId="29518851">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6517DC87">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07679786">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07E083FF">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0E1037F2">
            <w:pPr>
              <w:widowControl/>
              <w:wordWrap w:val="0"/>
              <w:jc w:val="center"/>
              <w:rPr>
                <w:rFonts w:ascii="宋体" w:hAnsi="宋体" w:cs="宋体"/>
                <w:kern w:val="0"/>
                <w:sz w:val="20"/>
                <w:szCs w:val="20"/>
              </w:rPr>
            </w:pPr>
            <w:r>
              <w:rPr>
                <w:rFonts w:hint="eastAsia" w:ascii="宋体" w:hAnsi="宋体" w:cs="宋体"/>
                <w:kern w:val="0"/>
                <w:sz w:val="20"/>
                <w:szCs w:val="20"/>
              </w:rPr>
              <w:t>热泵热水器</w:t>
            </w:r>
          </w:p>
        </w:tc>
        <w:tc>
          <w:tcPr>
            <w:tcW w:w="4753" w:type="dxa"/>
            <w:tcBorders>
              <w:top w:val="nil"/>
              <w:left w:val="nil"/>
              <w:bottom w:val="single" w:color="000000" w:sz="8" w:space="0"/>
              <w:right w:val="single" w:color="000000" w:sz="8" w:space="0"/>
            </w:tcBorders>
            <w:vAlign w:val="center"/>
          </w:tcPr>
          <w:p w14:paraId="002F7C9B">
            <w:pPr>
              <w:widowControl/>
              <w:wordWrap w:val="0"/>
              <w:jc w:val="left"/>
              <w:rPr>
                <w:rFonts w:ascii="宋体" w:hAnsi="宋体" w:cs="宋体"/>
                <w:kern w:val="0"/>
                <w:sz w:val="20"/>
                <w:szCs w:val="20"/>
              </w:rPr>
            </w:pPr>
            <w:r>
              <w:rPr>
                <w:rFonts w:hint="eastAsia" w:ascii="宋体" w:hAnsi="宋体" w:cs="宋体"/>
                <w:kern w:val="0"/>
                <w:sz w:val="20"/>
                <w:szCs w:val="20"/>
              </w:rPr>
              <w:t>《热泵热水机（器）能效限定值及能效等级》（GB29541）</w:t>
            </w:r>
          </w:p>
        </w:tc>
      </w:tr>
      <w:tr w14:paraId="4618CB37">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5028280D">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7A131BCD">
            <w:pPr>
              <w:widowControl/>
              <w:wordWrap w:val="0"/>
              <w:jc w:val="left"/>
              <w:rPr>
                <w:rFonts w:ascii="宋体" w:hAnsi="宋体" w:cs="宋体"/>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758ECDA2">
            <w:pPr>
              <w:widowControl/>
              <w:wordWrap w:val="0"/>
              <w:jc w:val="left"/>
              <w:rPr>
                <w:rFonts w:ascii="宋体" w:hAnsi="宋体" w:cs="宋体"/>
                <w:kern w:val="0"/>
                <w:sz w:val="20"/>
                <w:szCs w:val="20"/>
              </w:rPr>
            </w:pPr>
          </w:p>
        </w:tc>
        <w:tc>
          <w:tcPr>
            <w:tcW w:w="1622" w:type="dxa"/>
            <w:tcBorders>
              <w:top w:val="nil"/>
              <w:left w:val="nil"/>
              <w:bottom w:val="single" w:color="000000" w:sz="8" w:space="0"/>
              <w:right w:val="single" w:color="000000" w:sz="8" w:space="0"/>
            </w:tcBorders>
            <w:vAlign w:val="center"/>
          </w:tcPr>
          <w:p w14:paraId="3DA40BBA">
            <w:pPr>
              <w:widowControl/>
              <w:wordWrap w:val="0"/>
              <w:jc w:val="center"/>
              <w:rPr>
                <w:rFonts w:ascii="宋体" w:hAnsi="宋体" w:cs="宋体"/>
                <w:kern w:val="0"/>
                <w:sz w:val="20"/>
                <w:szCs w:val="20"/>
              </w:rPr>
            </w:pPr>
            <w:r>
              <w:rPr>
                <w:rFonts w:hint="eastAsia" w:ascii="宋体" w:hAnsi="宋体" w:cs="宋体"/>
                <w:kern w:val="0"/>
                <w:sz w:val="20"/>
                <w:szCs w:val="20"/>
              </w:rPr>
              <w:t>太阳能热水系统</w:t>
            </w:r>
          </w:p>
        </w:tc>
        <w:tc>
          <w:tcPr>
            <w:tcW w:w="4753" w:type="dxa"/>
            <w:tcBorders>
              <w:top w:val="nil"/>
              <w:left w:val="nil"/>
              <w:bottom w:val="single" w:color="000000" w:sz="8" w:space="0"/>
              <w:right w:val="single" w:color="000000" w:sz="8" w:space="0"/>
            </w:tcBorders>
            <w:vAlign w:val="center"/>
          </w:tcPr>
          <w:p w14:paraId="2D4F7E60">
            <w:pPr>
              <w:widowControl/>
              <w:wordWrap w:val="0"/>
              <w:jc w:val="left"/>
              <w:rPr>
                <w:rFonts w:ascii="宋体" w:hAnsi="宋体" w:cs="宋体"/>
                <w:kern w:val="0"/>
                <w:sz w:val="20"/>
                <w:szCs w:val="20"/>
              </w:rPr>
            </w:pPr>
            <w:r>
              <w:rPr>
                <w:rFonts w:hint="eastAsia" w:ascii="宋体" w:hAnsi="宋体" w:cs="宋体"/>
                <w:kern w:val="0"/>
                <w:sz w:val="20"/>
                <w:szCs w:val="20"/>
              </w:rPr>
              <w:t>《家用太阳能热水系统能效限定值及能效等级》（GB26969）</w:t>
            </w:r>
          </w:p>
        </w:tc>
      </w:tr>
      <w:tr w14:paraId="40571D65">
        <w:tblPrEx>
          <w:tblCellMar>
            <w:top w:w="0" w:type="dxa"/>
            <w:left w:w="108" w:type="dxa"/>
            <w:bottom w:w="0" w:type="dxa"/>
            <w:right w:w="108" w:type="dxa"/>
          </w:tblCellMar>
        </w:tblPrEx>
        <w:trPr>
          <w:trHeight w:val="970" w:hRule="atLeast"/>
        </w:trPr>
        <w:tc>
          <w:tcPr>
            <w:tcW w:w="659" w:type="dxa"/>
            <w:vMerge w:val="restart"/>
            <w:tcBorders>
              <w:top w:val="nil"/>
              <w:left w:val="single" w:color="000000" w:sz="8" w:space="0"/>
              <w:bottom w:val="single" w:color="000000" w:sz="8" w:space="0"/>
              <w:right w:val="single" w:color="000000" w:sz="8" w:space="0"/>
            </w:tcBorders>
            <w:vAlign w:val="center"/>
          </w:tcPr>
          <w:p w14:paraId="5589264C">
            <w:pPr>
              <w:widowControl/>
              <w:wordWrap w:val="0"/>
              <w:jc w:val="center"/>
              <w:rPr>
                <w:rFonts w:ascii="宋体" w:hAnsi="宋体" w:cs="宋体"/>
                <w:kern w:val="0"/>
                <w:sz w:val="20"/>
                <w:szCs w:val="20"/>
              </w:rPr>
            </w:pPr>
            <w:r>
              <w:rPr>
                <w:rFonts w:hint="eastAsia" w:ascii="宋体" w:hAnsi="宋体" w:cs="宋体"/>
                <w:kern w:val="0"/>
                <w:sz w:val="20"/>
                <w:szCs w:val="20"/>
              </w:rPr>
              <w:t>11</w:t>
            </w:r>
          </w:p>
        </w:tc>
        <w:tc>
          <w:tcPr>
            <w:tcW w:w="1079" w:type="dxa"/>
            <w:vMerge w:val="restart"/>
            <w:tcBorders>
              <w:top w:val="nil"/>
              <w:left w:val="single" w:color="000000" w:sz="8" w:space="0"/>
              <w:bottom w:val="single" w:color="000000" w:sz="8" w:space="0"/>
              <w:right w:val="single" w:color="000000" w:sz="8" w:space="0"/>
            </w:tcBorders>
            <w:vAlign w:val="center"/>
          </w:tcPr>
          <w:p w14:paraId="022530A8">
            <w:pPr>
              <w:widowControl/>
              <w:wordWrap w:val="0"/>
              <w:jc w:val="center"/>
              <w:rPr>
                <w:rFonts w:ascii="宋体" w:hAnsi="宋体" w:cs="宋体"/>
                <w:kern w:val="0"/>
                <w:sz w:val="20"/>
                <w:szCs w:val="20"/>
              </w:rPr>
            </w:pPr>
            <w:r>
              <w:rPr>
                <w:rFonts w:hint="eastAsia" w:ascii="宋体" w:hAnsi="宋体" w:cs="宋体"/>
                <w:kern w:val="0"/>
                <w:sz w:val="20"/>
                <w:szCs w:val="20"/>
              </w:rPr>
              <w:t>A020619照明设备</w:t>
            </w:r>
          </w:p>
        </w:tc>
        <w:tc>
          <w:tcPr>
            <w:tcW w:w="1319" w:type="dxa"/>
            <w:tcBorders>
              <w:top w:val="nil"/>
              <w:left w:val="nil"/>
              <w:bottom w:val="single" w:color="000000" w:sz="8" w:space="0"/>
              <w:right w:val="single" w:color="000000" w:sz="8" w:space="0"/>
            </w:tcBorders>
            <w:vAlign w:val="center"/>
          </w:tcPr>
          <w:p w14:paraId="13C47BF6">
            <w:pPr>
              <w:widowControl/>
              <w:wordWrap w:val="0"/>
              <w:jc w:val="center"/>
              <w:rPr>
                <w:rFonts w:ascii="宋体" w:hAnsi="宋体" w:cs="宋体"/>
                <w:kern w:val="0"/>
                <w:sz w:val="20"/>
                <w:szCs w:val="20"/>
              </w:rPr>
            </w:pPr>
            <w:r>
              <w:rPr>
                <w:rFonts w:hint="eastAsia" w:ascii="宋体" w:hAnsi="宋体" w:cs="宋体"/>
                <w:kern w:val="0"/>
                <w:sz w:val="20"/>
                <w:szCs w:val="20"/>
              </w:rPr>
              <w:t>★普通照明用双端荧光灯</w:t>
            </w:r>
          </w:p>
        </w:tc>
        <w:tc>
          <w:tcPr>
            <w:tcW w:w="1622" w:type="dxa"/>
            <w:tcBorders>
              <w:top w:val="nil"/>
              <w:left w:val="nil"/>
              <w:bottom w:val="single" w:color="000000" w:sz="8" w:space="0"/>
              <w:right w:val="single" w:color="000000" w:sz="8" w:space="0"/>
            </w:tcBorders>
            <w:vAlign w:val="center"/>
          </w:tcPr>
          <w:p w14:paraId="7203938D">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36522E65">
            <w:pPr>
              <w:widowControl/>
              <w:wordWrap w:val="0"/>
              <w:jc w:val="left"/>
              <w:rPr>
                <w:rFonts w:ascii="宋体" w:hAnsi="宋体" w:cs="宋体"/>
                <w:kern w:val="0"/>
                <w:sz w:val="20"/>
                <w:szCs w:val="20"/>
              </w:rPr>
            </w:pPr>
            <w:r>
              <w:rPr>
                <w:rFonts w:hint="eastAsia" w:ascii="宋体" w:hAnsi="宋体" w:cs="宋体"/>
                <w:kern w:val="0"/>
                <w:sz w:val="20"/>
                <w:szCs w:val="20"/>
              </w:rPr>
              <w:t>《普通照明用双端荧光灯能效限定值及能效等级》（GB19043）</w:t>
            </w:r>
          </w:p>
        </w:tc>
      </w:tr>
      <w:tr w14:paraId="663941DF">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700F9442">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100B22D8">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084449CD">
            <w:pPr>
              <w:widowControl/>
              <w:wordWrap w:val="0"/>
              <w:jc w:val="center"/>
              <w:rPr>
                <w:rFonts w:ascii="宋体" w:hAnsi="宋体" w:cs="宋体"/>
                <w:kern w:val="0"/>
                <w:sz w:val="20"/>
                <w:szCs w:val="20"/>
              </w:rPr>
            </w:pPr>
            <w:r>
              <w:rPr>
                <w:rFonts w:hint="eastAsia" w:ascii="宋体" w:hAnsi="宋体" w:cs="宋体"/>
                <w:kern w:val="0"/>
                <w:sz w:val="20"/>
                <w:szCs w:val="20"/>
              </w:rPr>
              <w:t>LED道路/隧道照明产品</w:t>
            </w:r>
          </w:p>
        </w:tc>
        <w:tc>
          <w:tcPr>
            <w:tcW w:w="1622" w:type="dxa"/>
            <w:tcBorders>
              <w:top w:val="nil"/>
              <w:left w:val="nil"/>
              <w:bottom w:val="single" w:color="000000" w:sz="8" w:space="0"/>
              <w:right w:val="single" w:color="000000" w:sz="8" w:space="0"/>
            </w:tcBorders>
            <w:vAlign w:val="center"/>
          </w:tcPr>
          <w:p w14:paraId="794334D9">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33C5E489">
            <w:pPr>
              <w:widowControl/>
              <w:wordWrap w:val="0"/>
              <w:jc w:val="left"/>
              <w:rPr>
                <w:rFonts w:ascii="宋体" w:hAnsi="宋体" w:cs="宋体"/>
                <w:kern w:val="0"/>
                <w:sz w:val="20"/>
                <w:szCs w:val="20"/>
              </w:rPr>
            </w:pPr>
            <w:r>
              <w:rPr>
                <w:rFonts w:hint="eastAsia" w:ascii="宋体" w:hAnsi="宋体" w:cs="宋体"/>
                <w:kern w:val="0"/>
                <w:sz w:val="20"/>
                <w:szCs w:val="20"/>
              </w:rPr>
              <w:t>《道路和隧道照明用LED灯具能效限定值及能效等级》（GB37478）</w:t>
            </w:r>
          </w:p>
        </w:tc>
      </w:tr>
      <w:tr w14:paraId="4DFCFC18">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404E8924">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71D9EAC8">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088E4624">
            <w:pPr>
              <w:widowControl/>
              <w:wordWrap w:val="0"/>
              <w:jc w:val="center"/>
              <w:rPr>
                <w:rFonts w:ascii="宋体" w:hAnsi="宋体" w:cs="宋体"/>
                <w:kern w:val="0"/>
                <w:sz w:val="20"/>
                <w:szCs w:val="20"/>
              </w:rPr>
            </w:pPr>
            <w:r>
              <w:rPr>
                <w:rFonts w:hint="eastAsia" w:ascii="宋体" w:hAnsi="宋体" w:cs="宋体"/>
                <w:kern w:val="0"/>
                <w:sz w:val="20"/>
                <w:szCs w:val="20"/>
              </w:rPr>
              <w:t>LED筒灯</w:t>
            </w:r>
          </w:p>
        </w:tc>
        <w:tc>
          <w:tcPr>
            <w:tcW w:w="1622" w:type="dxa"/>
            <w:tcBorders>
              <w:top w:val="nil"/>
              <w:left w:val="nil"/>
              <w:bottom w:val="single" w:color="000000" w:sz="8" w:space="0"/>
              <w:right w:val="single" w:color="000000" w:sz="8" w:space="0"/>
            </w:tcBorders>
            <w:vAlign w:val="center"/>
          </w:tcPr>
          <w:p w14:paraId="6BA872C3">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33679778">
            <w:pPr>
              <w:widowControl/>
              <w:wordWrap w:val="0"/>
              <w:jc w:val="left"/>
              <w:rPr>
                <w:rFonts w:ascii="宋体" w:hAnsi="宋体" w:cs="宋体"/>
                <w:kern w:val="0"/>
                <w:sz w:val="20"/>
                <w:szCs w:val="20"/>
              </w:rPr>
            </w:pPr>
            <w:r>
              <w:rPr>
                <w:rFonts w:hint="eastAsia" w:ascii="宋体" w:hAnsi="宋体" w:cs="宋体"/>
                <w:kern w:val="0"/>
                <w:sz w:val="20"/>
                <w:szCs w:val="20"/>
              </w:rPr>
              <w:t>《室内照明用LED产品能效限定值及能效等级》（GB30255）</w:t>
            </w:r>
          </w:p>
        </w:tc>
      </w:tr>
      <w:tr w14:paraId="3F3B5AC8">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78AC14D8">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0DE5BA67">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54B1A6B4">
            <w:pPr>
              <w:widowControl/>
              <w:wordWrap w:val="0"/>
              <w:jc w:val="center"/>
              <w:rPr>
                <w:rFonts w:ascii="宋体" w:hAnsi="宋体" w:cs="宋体"/>
                <w:kern w:val="0"/>
                <w:sz w:val="20"/>
                <w:szCs w:val="20"/>
              </w:rPr>
            </w:pPr>
            <w:r>
              <w:rPr>
                <w:rFonts w:hint="eastAsia" w:ascii="宋体" w:hAnsi="宋体" w:cs="宋体"/>
                <w:kern w:val="0"/>
                <w:sz w:val="20"/>
                <w:szCs w:val="20"/>
              </w:rPr>
              <w:t>普通照明用非定向自镇流LED灯</w:t>
            </w:r>
          </w:p>
        </w:tc>
        <w:tc>
          <w:tcPr>
            <w:tcW w:w="1622" w:type="dxa"/>
            <w:tcBorders>
              <w:top w:val="nil"/>
              <w:left w:val="nil"/>
              <w:bottom w:val="single" w:color="000000" w:sz="8" w:space="0"/>
              <w:right w:val="single" w:color="000000" w:sz="8" w:space="0"/>
            </w:tcBorders>
            <w:vAlign w:val="center"/>
          </w:tcPr>
          <w:p w14:paraId="6EC719EC">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3774FFC8">
            <w:pPr>
              <w:widowControl/>
              <w:wordWrap w:val="0"/>
              <w:jc w:val="left"/>
              <w:rPr>
                <w:rFonts w:ascii="宋体" w:hAnsi="宋体" w:cs="宋体"/>
                <w:kern w:val="0"/>
                <w:sz w:val="20"/>
                <w:szCs w:val="20"/>
              </w:rPr>
            </w:pPr>
            <w:r>
              <w:rPr>
                <w:rFonts w:hint="eastAsia" w:ascii="宋体" w:hAnsi="宋体" w:cs="宋体"/>
                <w:kern w:val="0"/>
                <w:sz w:val="20"/>
                <w:szCs w:val="20"/>
              </w:rPr>
              <w:t>《室内照明用LED产品能效限定值及能效等级》（GB30255）</w:t>
            </w:r>
          </w:p>
        </w:tc>
      </w:tr>
      <w:tr w14:paraId="20EBC708">
        <w:tblPrEx>
          <w:tblCellMar>
            <w:top w:w="0" w:type="dxa"/>
            <w:left w:w="108" w:type="dxa"/>
            <w:bottom w:w="0" w:type="dxa"/>
            <w:right w:w="108" w:type="dxa"/>
          </w:tblCellMar>
        </w:tblPrEx>
        <w:trPr>
          <w:trHeight w:val="970" w:hRule="atLeast"/>
        </w:trPr>
        <w:tc>
          <w:tcPr>
            <w:tcW w:w="659" w:type="dxa"/>
            <w:tcBorders>
              <w:top w:val="nil"/>
              <w:left w:val="single" w:color="000000" w:sz="8" w:space="0"/>
              <w:bottom w:val="single" w:color="000000" w:sz="8" w:space="0"/>
              <w:right w:val="single" w:color="000000" w:sz="8" w:space="0"/>
            </w:tcBorders>
            <w:vAlign w:val="center"/>
          </w:tcPr>
          <w:p w14:paraId="18A45925">
            <w:pPr>
              <w:widowControl/>
              <w:wordWrap w:val="0"/>
              <w:jc w:val="center"/>
              <w:rPr>
                <w:rFonts w:ascii="宋体" w:hAnsi="宋体" w:cs="宋体"/>
                <w:kern w:val="0"/>
                <w:sz w:val="20"/>
                <w:szCs w:val="20"/>
              </w:rPr>
            </w:pPr>
            <w:r>
              <w:rPr>
                <w:rFonts w:hint="eastAsia" w:ascii="宋体" w:hAnsi="宋体" w:cs="宋体"/>
                <w:kern w:val="0"/>
                <w:sz w:val="20"/>
                <w:szCs w:val="20"/>
              </w:rPr>
              <w:t>12</w:t>
            </w:r>
          </w:p>
        </w:tc>
        <w:tc>
          <w:tcPr>
            <w:tcW w:w="1079" w:type="dxa"/>
            <w:tcBorders>
              <w:top w:val="nil"/>
              <w:left w:val="nil"/>
              <w:bottom w:val="single" w:color="000000" w:sz="8" w:space="0"/>
              <w:right w:val="single" w:color="000000" w:sz="8" w:space="0"/>
            </w:tcBorders>
            <w:vAlign w:val="center"/>
          </w:tcPr>
          <w:p w14:paraId="0CFAE13C">
            <w:pPr>
              <w:widowControl/>
              <w:wordWrap w:val="0"/>
              <w:jc w:val="center"/>
              <w:rPr>
                <w:rFonts w:ascii="宋体" w:hAnsi="宋体" w:cs="宋体"/>
                <w:kern w:val="0"/>
                <w:sz w:val="20"/>
                <w:szCs w:val="20"/>
              </w:rPr>
            </w:pPr>
            <w:r>
              <w:rPr>
                <w:rFonts w:hint="eastAsia" w:ascii="宋体" w:hAnsi="宋体" w:cs="宋体"/>
                <w:kern w:val="0"/>
                <w:sz w:val="20"/>
                <w:szCs w:val="20"/>
              </w:rPr>
              <w:t>★A020910电视设备</w:t>
            </w:r>
          </w:p>
        </w:tc>
        <w:tc>
          <w:tcPr>
            <w:tcW w:w="1319" w:type="dxa"/>
            <w:tcBorders>
              <w:top w:val="nil"/>
              <w:left w:val="nil"/>
              <w:bottom w:val="single" w:color="000000" w:sz="8" w:space="0"/>
              <w:right w:val="single" w:color="000000" w:sz="8" w:space="0"/>
            </w:tcBorders>
            <w:vAlign w:val="center"/>
          </w:tcPr>
          <w:p w14:paraId="1547C484">
            <w:pPr>
              <w:widowControl/>
              <w:wordWrap w:val="0"/>
              <w:jc w:val="center"/>
              <w:rPr>
                <w:rFonts w:ascii="宋体" w:hAnsi="宋体" w:cs="宋体"/>
                <w:kern w:val="0"/>
                <w:sz w:val="20"/>
                <w:szCs w:val="20"/>
              </w:rPr>
            </w:pPr>
            <w:r>
              <w:rPr>
                <w:rFonts w:hint="eastAsia" w:ascii="宋体" w:hAnsi="宋体" w:cs="宋体"/>
                <w:kern w:val="0"/>
                <w:sz w:val="20"/>
                <w:szCs w:val="20"/>
              </w:rPr>
              <w:t>A02091001普通电视设备（电视机）</w:t>
            </w:r>
          </w:p>
        </w:tc>
        <w:tc>
          <w:tcPr>
            <w:tcW w:w="1622" w:type="dxa"/>
            <w:tcBorders>
              <w:top w:val="nil"/>
              <w:left w:val="nil"/>
              <w:bottom w:val="single" w:color="000000" w:sz="8" w:space="0"/>
              <w:right w:val="single" w:color="000000" w:sz="8" w:space="0"/>
            </w:tcBorders>
            <w:vAlign w:val="center"/>
          </w:tcPr>
          <w:p w14:paraId="154BA838">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1AFD28DE">
            <w:pPr>
              <w:widowControl/>
              <w:wordWrap w:val="0"/>
              <w:jc w:val="left"/>
              <w:rPr>
                <w:rFonts w:ascii="宋体" w:hAnsi="宋体" w:cs="宋体"/>
                <w:kern w:val="0"/>
                <w:sz w:val="20"/>
                <w:szCs w:val="20"/>
              </w:rPr>
            </w:pPr>
            <w:r>
              <w:rPr>
                <w:rFonts w:hint="eastAsia" w:ascii="宋体" w:hAnsi="宋体" w:cs="宋体"/>
                <w:kern w:val="0"/>
                <w:sz w:val="20"/>
                <w:szCs w:val="20"/>
              </w:rPr>
              <w:t>《平板电视能效限定值及能效等级》（GB24850）</w:t>
            </w:r>
          </w:p>
        </w:tc>
      </w:tr>
      <w:tr w14:paraId="37ADC399">
        <w:tblPrEx>
          <w:tblCellMar>
            <w:top w:w="0" w:type="dxa"/>
            <w:left w:w="108" w:type="dxa"/>
            <w:bottom w:w="0" w:type="dxa"/>
            <w:right w:w="108" w:type="dxa"/>
          </w:tblCellMar>
        </w:tblPrEx>
        <w:trPr>
          <w:trHeight w:val="1287" w:hRule="atLeast"/>
        </w:trPr>
        <w:tc>
          <w:tcPr>
            <w:tcW w:w="659" w:type="dxa"/>
            <w:tcBorders>
              <w:top w:val="nil"/>
              <w:left w:val="single" w:color="000000" w:sz="8" w:space="0"/>
              <w:bottom w:val="single" w:color="000000" w:sz="8" w:space="0"/>
              <w:right w:val="single" w:color="000000" w:sz="8" w:space="0"/>
            </w:tcBorders>
            <w:vAlign w:val="center"/>
          </w:tcPr>
          <w:p w14:paraId="3B740412">
            <w:pPr>
              <w:widowControl/>
              <w:wordWrap w:val="0"/>
              <w:jc w:val="center"/>
              <w:rPr>
                <w:rFonts w:ascii="宋体" w:hAnsi="宋体" w:cs="宋体"/>
                <w:kern w:val="0"/>
                <w:sz w:val="20"/>
                <w:szCs w:val="20"/>
              </w:rPr>
            </w:pPr>
            <w:r>
              <w:rPr>
                <w:rFonts w:hint="eastAsia" w:ascii="宋体" w:hAnsi="宋体" w:cs="宋体"/>
                <w:kern w:val="0"/>
                <w:sz w:val="20"/>
                <w:szCs w:val="20"/>
              </w:rPr>
              <w:t>13</w:t>
            </w:r>
          </w:p>
        </w:tc>
        <w:tc>
          <w:tcPr>
            <w:tcW w:w="1079" w:type="dxa"/>
            <w:tcBorders>
              <w:top w:val="nil"/>
              <w:left w:val="nil"/>
              <w:bottom w:val="single" w:color="000000" w:sz="8" w:space="0"/>
              <w:right w:val="single" w:color="000000" w:sz="8" w:space="0"/>
            </w:tcBorders>
            <w:vAlign w:val="center"/>
          </w:tcPr>
          <w:p w14:paraId="1177BE64">
            <w:pPr>
              <w:widowControl/>
              <w:wordWrap w:val="0"/>
              <w:jc w:val="center"/>
              <w:rPr>
                <w:rFonts w:ascii="宋体" w:hAnsi="宋体" w:cs="宋体"/>
                <w:kern w:val="0"/>
                <w:sz w:val="20"/>
                <w:szCs w:val="20"/>
              </w:rPr>
            </w:pPr>
            <w:r>
              <w:rPr>
                <w:rFonts w:hint="eastAsia" w:ascii="宋体" w:hAnsi="宋体" w:cs="宋体"/>
                <w:kern w:val="0"/>
                <w:sz w:val="20"/>
                <w:szCs w:val="20"/>
              </w:rPr>
              <w:t>★A020911视频设备</w:t>
            </w:r>
          </w:p>
        </w:tc>
        <w:tc>
          <w:tcPr>
            <w:tcW w:w="1319" w:type="dxa"/>
            <w:tcBorders>
              <w:top w:val="nil"/>
              <w:left w:val="nil"/>
              <w:bottom w:val="single" w:color="000000" w:sz="8" w:space="0"/>
              <w:right w:val="single" w:color="000000" w:sz="8" w:space="0"/>
            </w:tcBorders>
            <w:vAlign w:val="center"/>
          </w:tcPr>
          <w:p w14:paraId="6036BB65">
            <w:pPr>
              <w:widowControl/>
              <w:wordWrap w:val="0"/>
              <w:jc w:val="center"/>
              <w:rPr>
                <w:rFonts w:ascii="宋体" w:hAnsi="宋体" w:cs="宋体"/>
                <w:kern w:val="0"/>
                <w:sz w:val="20"/>
                <w:szCs w:val="20"/>
              </w:rPr>
            </w:pPr>
            <w:r>
              <w:rPr>
                <w:rFonts w:hint="eastAsia" w:ascii="宋体" w:hAnsi="宋体" w:cs="宋体"/>
                <w:kern w:val="0"/>
                <w:sz w:val="20"/>
                <w:szCs w:val="20"/>
              </w:rPr>
              <w:t>A02091107视频监控设备</w:t>
            </w:r>
          </w:p>
        </w:tc>
        <w:tc>
          <w:tcPr>
            <w:tcW w:w="1622" w:type="dxa"/>
            <w:tcBorders>
              <w:top w:val="nil"/>
              <w:left w:val="nil"/>
              <w:bottom w:val="single" w:color="000000" w:sz="8" w:space="0"/>
              <w:right w:val="single" w:color="000000" w:sz="8" w:space="0"/>
            </w:tcBorders>
            <w:vAlign w:val="center"/>
          </w:tcPr>
          <w:p w14:paraId="499A54C7">
            <w:pPr>
              <w:widowControl/>
              <w:wordWrap w:val="0"/>
              <w:jc w:val="center"/>
              <w:rPr>
                <w:rFonts w:ascii="宋体" w:hAnsi="宋体" w:cs="宋体"/>
                <w:kern w:val="0"/>
                <w:sz w:val="20"/>
                <w:szCs w:val="20"/>
              </w:rPr>
            </w:pPr>
            <w:r>
              <w:rPr>
                <w:rFonts w:hint="eastAsia" w:ascii="宋体" w:hAnsi="宋体" w:cs="宋体"/>
                <w:kern w:val="0"/>
                <w:sz w:val="20"/>
                <w:szCs w:val="20"/>
              </w:rPr>
              <w:t>监视器</w:t>
            </w:r>
          </w:p>
        </w:tc>
        <w:tc>
          <w:tcPr>
            <w:tcW w:w="4753" w:type="dxa"/>
            <w:tcBorders>
              <w:top w:val="nil"/>
              <w:left w:val="nil"/>
              <w:bottom w:val="single" w:color="000000" w:sz="8" w:space="0"/>
              <w:right w:val="single" w:color="000000" w:sz="8" w:space="0"/>
            </w:tcBorders>
            <w:vAlign w:val="center"/>
          </w:tcPr>
          <w:p w14:paraId="0CD32CA6">
            <w:pPr>
              <w:widowControl/>
              <w:wordWrap w:val="0"/>
              <w:jc w:val="left"/>
              <w:rPr>
                <w:rFonts w:ascii="宋体" w:hAnsi="宋体" w:cs="宋体"/>
                <w:kern w:val="0"/>
                <w:sz w:val="20"/>
                <w:szCs w:val="20"/>
              </w:rPr>
            </w:pPr>
            <w:r>
              <w:rPr>
                <w:rFonts w:hint="eastAsia" w:ascii="宋体" w:hAnsi="宋体" w:cs="宋体"/>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413C7852">
        <w:tblPrEx>
          <w:tblCellMar>
            <w:top w:w="0" w:type="dxa"/>
            <w:left w:w="108" w:type="dxa"/>
            <w:bottom w:w="0" w:type="dxa"/>
            <w:right w:w="108" w:type="dxa"/>
          </w:tblCellMar>
        </w:tblPrEx>
        <w:trPr>
          <w:trHeight w:val="970" w:hRule="atLeast"/>
        </w:trPr>
        <w:tc>
          <w:tcPr>
            <w:tcW w:w="659" w:type="dxa"/>
            <w:tcBorders>
              <w:top w:val="nil"/>
              <w:left w:val="single" w:color="000000" w:sz="8" w:space="0"/>
              <w:bottom w:val="single" w:color="000000" w:sz="8" w:space="0"/>
              <w:right w:val="single" w:color="000000" w:sz="8" w:space="0"/>
            </w:tcBorders>
            <w:vAlign w:val="center"/>
          </w:tcPr>
          <w:p w14:paraId="1D9E6572">
            <w:pPr>
              <w:widowControl/>
              <w:wordWrap w:val="0"/>
              <w:jc w:val="center"/>
              <w:rPr>
                <w:rFonts w:ascii="宋体" w:hAnsi="宋体" w:cs="宋体"/>
                <w:kern w:val="0"/>
                <w:sz w:val="20"/>
                <w:szCs w:val="20"/>
              </w:rPr>
            </w:pPr>
            <w:r>
              <w:rPr>
                <w:rFonts w:hint="eastAsia" w:ascii="宋体" w:hAnsi="宋体" w:cs="宋体"/>
                <w:kern w:val="0"/>
                <w:sz w:val="20"/>
                <w:szCs w:val="20"/>
              </w:rPr>
              <w:t>14</w:t>
            </w:r>
          </w:p>
        </w:tc>
        <w:tc>
          <w:tcPr>
            <w:tcW w:w="1079" w:type="dxa"/>
            <w:tcBorders>
              <w:top w:val="nil"/>
              <w:left w:val="nil"/>
              <w:bottom w:val="single" w:color="000000" w:sz="8" w:space="0"/>
              <w:right w:val="single" w:color="000000" w:sz="8" w:space="0"/>
            </w:tcBorders>
            <w:vAlign w:val="center"/>
          </w:tcPr>
          <w:p w14:paraId="1D4C0B46">
            <w:pPr>
              <w:widowControl/>
              <w:wordWrap w:val="0"/>
              <w:jc w:val="center"/>
              <w:rPr>
                <w:rFonts w:ascii="宋体" w:hAnsi="宋体" w:cs="宋体"/>
                <w:kern w:val="0"/>
                <w:sz w:val="20"/>
                <w:szCs w:val="20"/>
              </w:rPr>
            </w:pPr>
            <w:r>
              <w:rPr>
                <w:rFonts w:hint="eastAsia" w:ascii="宋体" w:hAnsi="宋体" w:cs="宋体"/>
                <w:kern w:val="0"/>
                <w:sz w:val="20"/>
                <w:szCs w:val="20"/>
              </w:rPr>
              <w:t>A031210饮食炊事机械</w:t>
            </w:r>
          </w:p>
        </w:tc>
        <w:tc>
          <w:tcPr>
            <w:tcW w:w="1319" w:type="dxa"/>
            <w:tcBorders>
              <w:top w:val="nil"/>
              <w:left w:val="nil"/>
              <w:bottom w:val="single" w:color="000000" w:sz="8" w:space="0"/>
              <w:right w:val="single" w:color="000000" w:sz="8" w:space="0"/>
            </w:tcBorders>
            <w:vAlign w:val="center"/>
          </w:tcPr>
          <w:p w14:paraId="579629D1">
            <w:pPr>
              <w:widowControl/>
              <w:wordWrap w:val="0"/>
              <w:jc w:val="center"/>
              <w:rPr>
                <w:rFonts w:ascii="宋体" w:hAnsi="宋体" w:cs="宋体"/>
                <w:kern w:val="0"/>
                <w:sz w:val="20"/>
                <w:szCs w:val="20"/>
              </w:rPr>
            </w:pPr>
            <w:r>
              <w:rPr>
                <w:rFonts w:hint="eastAsia" w:ascii="宋体" w:hAnsi="宋体" w:cs="宋体"/>
                <w:kern w:val="0"/>
                <w:sz w:val="20"/>
                <w:szCs w:val="20"/>
              </w:rPr>
              <w:t>商用燃气灶具</w:t>
            </w:r>
          </w:p>
        </w:tc>
        <w:tc>
          <w:tcPr>
            <w:tcW w:w="1622" w:type="dxa"/>
            <w:tcBorders>
              <w:top w:val="nil"/>
              <w:left w:val="nil"/>
              <w:bottom w:val="single" w:color="000000" w:sz="8" w:space="0"/>
              <w:right w:val="single" w:color="000000" w:sz="8" w:space="0"/>
            </w:tcBorders>
            <w:vAlign w:val="center"/>
          </w:tcPr>
          <w:p w14:paraId="2529DCE5">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5C17FBAD">
            <w:pPr>
              <w:widowControl/>
              <w:wordWrap w:val="0"/>
              <w:jc w:val="left"/>
              <w:rPr>
                <w:rFonts w:ascii="宋体" w:hAnsi="宋体" w:cs="宋体"/>
                <w:kern w:val="0"/>
                <w:sz w:val="20"/>
                <w:szCs w:val="20"/>
              </w:rPr>
            </w:pPr>
            <w:r>
              <w:rPr>
                <w:rFonts w:hint="eastAsia" w:ascii="宋体" w:hAnsi="宋体" w:cs="宋体"/>
                <w:kern w:val="0"/>
                <w:sz w:val="20"/>
                <w:szCs w:val="20"/>
              </w:rPr>
              <w:t>《商用燃气灶具能效限定值及能效等级》（GB30531）</w:t>
            </w:r>
          </w:p>
        </w:tc>
      </w:tr>
      <w:tr w14:paraId="77B38639">
        <w:tblPrEx>
          <w:tblCellMar>
            <w:top w:w="0" w:type="dxa"/>
            <w:left w:w="108" w:type="dxa"/>
            <w:bottom w:w="0" w:type="dxa"/>
            <w:right w:w="108" w:type="dxa"/>
          </w:tblCellMar>
        </w:tblPrEx>
        <w:trPr>
          <w:trHeight w:val="346" w:hRule="atLeast"/>
        </w:trPr>
        <w:tc>
          <w:tcPr>
            <w:tcW w:w="659" w:type="dxa"/>
            <w:vMerge w:val="restart"/>
            <w:tcBorders>
              <w:top w:val="nil"/>
              <w:left w:val="single" w:color="000000" w:sz="8" w:space="0"/>
              <w:bottom w:val="single" w:color="000000" w:sz="8" w:space="0"/>
              <w:right w:val="single" w:color="000000" w:sz="8" w:space="0"/>
            </w:tcBorders>
            <w:vAlign w:val="center"/>
          </w:tcPr>
          <w:p w14:paraId="61249F65">
            <w:pPr>
              <w:widowControl/>
              <w:wordWrap w:val="0"/>
              <w:jc w:val="center"/>
              <w:rPr>
                <w:rFonts w:ascii="宋体" w:hAnsi="宋体" w:cs="宋体"/>
                <w:kern w:val="0"/>
                <w:sz w:val="20"/>
                <w:szCs w:val="20"/>
              </w:rPr>
            </w:pPr>
            <w:r>
              <w:rPr>
                <w:rFonts w:hint="eastAsia" w:ascii="宋体" w:hAnsi="宋体" w:cs="宋体"/>
                <w:kern w:val="0"/>
                <w:sz w:val="20"/>
                <w:szCs w:val="20"/>
              </w:rPr>
              <w:t>15</w:t>
            </w:r>
          </w:p>
        </w:tc>
        <w:tc>
          <w:tcPr>
            <w:tcW w:w="1079" w:type="dxa"/>
            <w:vMerge w:val="restart"/>
            <w:tcBorders>
              <w:top w:val="nil"/>
              <w:left w:val="single" w:color="000000" w:sz="8" w:space="0"/>
              <w:bottom w:val="single" w:color="000000" w:sz="8" w:space="0"/>
              <w:right w:val="single" w:color="000000" w:sz="8" w:space="0"/>
            </w:tcBorders>
            <w:vAlign w:val="center"/>
          </w:tcPr>
          <w:p w14:paraId="159AE6CA">
            <w:pPr>
              <w:widowControl/>
              <w:wordWrap w:val="0"/>
              <w:jc w:val="center"/>
              <w:rPr>
                <w:rFonts w:ascii="宋体" w:hAnsi="宋体" w:cs="宋体"/>
                <w:kern w:val="0"/>
                <w:sz w:val="20"/>
                <w:szCs w:val="20"/>
              </w:rPr>
            </w:pPr>
            <w:r>
              <w:rPr>
                <w:rFonts w:hint="eastAsia" w:ascii="宋体" w:hAnsi="宋体" w:cs="宋体"/>
                <w:kern w:val="0"/>
                <w:sz w:val="20"/>
                <w:szCs w:val="20"/>
              </w:rPr>
              <w:t>★A060805便器</w:t>
            </w:r>
          </w:p>
        </w:tc>
        <w:tc>
          <w:tcPr>
            <w:tcW w:w="1319" w:type="dxa"/>
            <w:tcBorders>
              <w:top w:val="nil"/>
              <w:left w:val="nil"/>
              <w:bottom w:val="single" w:color="000000" w:sz="8" w:space="0"/>
              <w:right w:val="single" w:color="000000" w:sz="8" w:space="0"/>
            </w:tcBorders>
            <w:vAlign w:val="center"/>
          </w:tcPr>
          <w:p w14:paraId="6F22A0E2">
            <w:pPr>
              <w:widowControl/>
              <w:wordWrap w:val="0"/>
              <w:jc w:val="center"/>
              <w:rPr>
                <w:rFonts w:ascii="宋体" w:hAnsi="宋体" w:cs="宋体"/>
                <w:kern w:val="0"/>
                <w:sz w:val="20"/>
                <w:szCs w:val="20"/>
              </w:rPr>
            </w:pPr>
            <w:r>
              <w:rPr>
                <w:rFonts w:hint="eastAsia" w:ascii="宋体" w:hAnsi="宋体" w:cs="宋体"/>
                <w:kern w:val="0"/>
                <w:sz w:val="20"/>
                <w:szCs w:val="20"/>
              </w:rPr>
              <w:t>坐便器</w:t>
            </w:r>
          </w:p>
        </w:tc>
        <w:tc>
          <w:tcPr>
            <w:tcW w:w="1622" w:type="dxa"/>
            <w:tcBorders>
              <w:top w:val="nil"/>
              <w:left w:val="nil"/>
              <w:bottom w:val="single" w:color="000000" w:sz="8" w:space="0"/>
              <w:right w:val="single" w:color="000000" w:sz="8" w:space="0"/>
            </w:tcBorders>
            <w:vAlign w:val="center"/>
          </w:tcPr>
          <w:p w14:paraId="3FCD1460">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0F619C30">
            <w:pPr>
              <w:widowControl/>
              <w:wordWrap w:val="0"/>
              <w:jc w:val="left"/>
              <w:rPr>
                <w:rFonts w:ascii="宋体" w:hAnsi="宋体" w:cs="宋体"/>
                <w:kern w:val="0"/>
                <w:sz w:val="20"/>
                <w:szCs w:val="20"/>
              </w:rPr>
            </w:pPr>
            <w:r>
              <w:rPr>
                <w:rFonts w:hint="eastAsia" w:ascii="宋体" w:hAnsi="宋体" w:cs="宋体"/>
                <w:kern w:val="0"/>
                <w:sz w:val="20"/>
                <w:szCs w:val="20"/>
              </w:rPr>
              <w:t>《坐便器水效限定值及水效等级》（GB25502）</w:t>
            </w:r>
          </w:p>
        </w:tc>
      </w:tr>
      <w:tr w14:paraId="1EB8549E">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49C4F8F0">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2C8710DF">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18D7E08A">
            <w:pPr>
              <w:widowControl/>
              <w:wordWrap w:val="0"/>
              <w:jc w:val="center"/>
              <w:rPr>
                <w:rFonts w:ascii="宋体" w:hAnsi="宋体" w:cs="宋体"/>
                <w:kern w:val="0"/>
                <w:sz w:val="20"/>
                <w:szCs w:val="20"/>
              </w:rPr>
            </w:pPr>
            <w:r>
              <w:rPr>
                <w:rFonts w:hint="eastAsia" w:ascii="宋体" w:hAnsi="宋体" w:cs="宋体"/>
                <w:kern w:val="0"/>
                <w:sz w:val="20"/>
                <w:szCs w:val="20"/>
              </w:rPr>
              <w:t>蹲便器</w:t>
            </w:r>
          </w:p>
        </w:tc>
        <w:tc>
          <w:tcPr>
            <w:tcW w:w="1622" w:type="dxa"/>
            <w:tcBorders>
              <w:top w:val="nil"/>
              <w:left w:val="nil"/>
              <w:bottom w:val="single" w:color="000000" w:sz="8" w:space="0"/>
              <w:right w:val="single" w:color="000000" w:sz="8" w:space="0"/>
            </w:tcBorders>
            <w:vAlign w:val="center"/>
          </w:tcPr>
          <w:p w14:paraId="032AE4F6">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67FA236E">
            <w:pPr>
              <w:widowControl/>
              <w:wordWrap w:val="0"/>
              <w:jc w:val="left"/>
              <w:rPr>
                <w:rFonts w:ascii="宋体" w:hAnsi="宋体" w:cs="宋体"/>
                <w:kern w:val="0"/>
                <w:sz w:val="20"/>
                <w:szCs w:val="20"/>
              </w:rPr>
            </w:pPr>
            <w:r>
              <w:rPr>
                <w:rFonts w:hint="eastAsia" w:ascii="宋体" w:hAnsi="宋体" w:cs="宋体"/>
                <w:kern w:val="0"/>
                <w:sz w:val="20"/>
                <w:szCs w:val="20"/>
              </w:rPr>
              <w:t>《蹲便器用水效率限定值及用水效率等级》（GB30717）</w:t>
            </w:r>
          </w:p>
        </w:tc>
      </w:tr>
      <w:tr w14:paraId="024F2127">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3AAD12A2">
            <w:pPr>
              <w:widowControl/>
              <w:wordWrap w:val="0"/>
              <w:jc w:val="left"/>
              <w:rPr>
                <w:rFonts w:ascii="宋体" w:hAnsi="宋体" w:cs="宋体"/>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1131235C">
            <w:pPr>
              <w:widowControl/>
              <w:wordWrap w:val="0"/>
              <w:jc w:val="left"/>
              <w:rPr>
                <w:rFonts w:ascii="宋体" w:hAnsi="宋体" w:cs="宋体"/>
                <w:kern w:val="0"/>
                <w:sz w:val="20"/>
                <w:szCs w:val="20"/>
              </w:rPr>
            </w:pPr>
          </w:p>
        </w:tc>
        <w:tc>
          <w:tcPr>
            <w:tcW w:w="1319" w:type="dxa"/>
            <w:tcBorders>
              <w:top w:val="nil"/>
              <w:left w:val="nil"/>
              <w:bottom w:val="single" w:color="000000" w:sz="8" w:space="0"/>
              <w:right w:val="single" w:color="000000" w:sz="8" w:space="0"/>
            </w:tcBorders>
            <w:vAlign w:val="center"/>
          </w:tcPr>
          <w:p w14:paraId="738D8BFD">
            <w:pPr>
              <w:widowControl/>
              <w:wordWrap w:val="0"/>
              <w:jc w:val="center"/>
              <w:rPr>
                <w:rFonts w:ascii="宋体" w:hAnsi="宋体" w:cs="宋体"/>
                <w:kern w:val="0"/>
                <w:sz w:val="20"/>
                <w:szCs w:val="20"/>
              </w:rPr>
            </w:pPr>
            <w:r>
              <w:rPr>
                <w:rFonts w:hint="eastAsia" w:ascii="宋体" w:hAnsi="宋体" w:cs="宋体"/>
                <w:kern w:val="0"/>
                <w:sz w:val="20"/>
                <w:szCs w:val="20"/>
              </w:rPr>
              <w:t>小便器</w:t>
            </w:r>
          </w:p>
        </w:tc>
        <w:tc>
          <w:tcPr>
            <w:tcW w:w="1622" w:type="dxa"/>
            <w:tcBorders>
              <w:top w:val="nil"/>
              <w:left w:val="nil"/>
              <w:bottom w:val="single" w:color="000000" w:sz="8" w:space="0"/>
              <w:right w:val="single" w:color="000000" w:sz="8" w:space="0"/>
            </w:tcBorders>
            <w:vAlign w:val="center"/>
          </w:tcPr>
          <w:p w14:paraId="22158533">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701A99A9">
            <w:pPr>
              <w:widowControl/>
              <w:wordWrap w:val="0"/>
              <w:jc w:val="left"/>
              <w:rPr>
                <w:rFonts w:ascii="宋体" w:hAnsi="宋体" w:cs="宋体"/>
                <w:kern w:val="0"/>
                <w:sz w:val="20"/>
                <w:szCs w:val="20"/>
              </w:rPr>
            </w:pPr>
            <w:r>
              <w:rPr>
                <w:rFonts w:hint="eastAsia" w:ascii="宋体" w:hAnsi="宋体" w:cs="宋体"/>
                <w:kern w:val="0"/>
                <w:sz w:val="20"/>
                <w:szCs w:val="20"/>
              </w:rPr>
              <w:t>《小便器用水效率限定值及用水效率等级》（GB28377）</w:t>
            </w:r>
          </w:p>
        </w:tc>
      </w:tr>
      <w:tr w14:paraId="7571A277">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7BBB2DA1">
            <w:pPr>
              <w:widowControl/>
              <w:wordWrap w:val="0"/>
              <w:jc w:val="center"/>
              <w:rPr>
                <w:rFonts w:ascii="宋体" w:hAnsi="宋体" w:cs="宋体"/>
                <w:kern w:val="0"/>
                <w:sz w:val="20"/>
                <w:szCs w:val="20"/>
              </w:rPr>
            </w:pPr>
            <w:r>
              <w:rPr>
                <w:rFonts w:hint="eastAsia" w:ascii="宋体" w:hAnsi="宋体" w:cs="宋体"/>
                <w:kern w:val="0"/>
                <w:sz w:val="20"/>
                <w:szCs w:val="20"/>
              </w:rPr>
              <w:t>16</w:t>
            </w:r>
          </w:p>
        </w:tc>
        <w:tc>
          <w:tcPr>
            <w:tcW w:w="1079" w:type="dxa"/>
            <w:tcBorders>
              <w:top w:val="nil"/>
              <w:left w:val="nil"/>
              <w:bottom w:val="single" w:color="000000" w:sz="8" w:space="0"/>
              <w:right w:val="single" w:color="000000" w:sz="8" w:space="0"/>
            </w:tcBorders>
            <w:vAlign w:val="center"/>
          </w:tcPr>
          <w:p w14:paraId="4807CEC5">
            <w:pPr>
              <w:widowControl/>
              <w:wordWrap w:val="0"/>
              <w:jc w:val="center"/>
              <w:rPr>
                <w:rFonts w:ascii="宋体" w:hAnsi="宋体" w:cs="宋体"/>
                <w:kern w:val="0"/>
                <w:sz w:val="20"/>
                <w:szCs w:val="20"/>
              </w:rPr>
            </w:pPr>
            <w:r>
              <w:rPr>
                <w:rFonts w:hint="eastAsia" w:ascii="宋体" w:hAnsi="宋体" w:cs="宋体"/>
                <w:kern w:val="0"/>
                <w:sz w:val="20"/>
                <w:szCs w:val="20"/>
              </w:rPr>
              <w:t>★A060806水嘴</w:t>
            </w:r>
          </w:p>
        </w:tc>
        <w:tc>
          <w:tcPr>
            <w:tcW w:w="1319" w:type="dxa"/>
            <w:tcBorders>
              <w:top w:val="nil"/>
              <w:left w:val="nil"/>
              <w:bottom w:val="single" w:color="000000" w:sz="8" w:space="0"/>
              <w:right w:val="single" w:color="000000" w:sz="8" w:space="0"/>
            </w:tcBorders>
            <w:vAlign w:val="center"/>
          </w:tcPr>
          <w:p w14:paraId="0E44DCB1">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1622" w:type="dxa"/>
            <w:tcBorders>
              <w:top w:val="nil"/>
              <w:left w:val="nil"/>
              <w:bottom w:val="single" w:color="000000" w:sz="8" w:space="0"/>
              <w:right w:val="single" w:color="000000" w:sz="8" w:space="0"/>
            </w:tcBorders>
            <w:vAlign w:val="center"/>
          </w:tcPr>
          <w:p w14:paraId="6BDE10B4">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43B64E1C">
            <w:pPr>
              <w:widowControl/>
              <w:wordWrap w:val="0"/>
              <w:jc w:val="left"/>
              <w:rPr>
                <w:rFonts w:ascii="宋体" w:hAnsi="宋体" w:cs="宋体"/>
                <w:kern w:val="0"/>
                <w:sz w:val="20"/>
                <w:szCs w:val="20"/>
              </w:rPr>
            </w:pPr>
            <w:r>
              <w:rPr>
                <w:rFonts w:hint="eastAsia" w:ascii="宋体" w:hAnsi="宋体" w:cs="宋体"/>
                <w:kern w:val="0"/>
                <w:sz w:val="20"/>
                <w:szCs w:val="20"/>
              </w:rPr>
              <w:t>《水嘴用水效率限定值及用水效率等级》（GB25501）</w:t>
            </w:r>
          </w:p>
        </w:tc>
      </w:tr>
      <w:tr w14:paraId="6678C564">
        <w:tblPrEx>
          <w:tblCellMar>
            <w:top w:w="0" w:type="dxa"/>
            <w:left w:w="108" w:type="dxa"/>
            <w:bottom w:w="0" w:type="dxa"/>
            <w:right w:w="108" w:type="dxa"/>
          </w:tblCellMar>
        </w:tblPrEx>
        <w:trPr>
          <w:trHeight w:val="970" w:hRule="atLeast"/>
        </w:trPr>
        <w:tc>
          <w:tcPr>
            <w:tcW w:w="659" w:type="dxa"/>
            <w:tcBorders>
              <w:top w:val="nil"/>
              <w:left w:val="single" w:color="000000" w:sz="8" w:space="0"/>
              <w:bottom w:val="single" w:color="000000" w:sz="8" w:space="0"/>
              <w:right w:val="single" w:color="000000" w:sz="8" w:space="0"/>
            </w:tcBorders>
            <w:vAlign w:val="center"/>
          </w:tcPr>
          <w:p w14:paraId="22E17044">
            <w:pPr>
              <w:widowControl/>
              <w:wordWrap w:val="0"/>
              <w:jc w:val="center"/>
              <w:rPr>
                <w:rFonts w:ascii="宋体" w:hAnsi="宋体" w:cs="宋体"/>
                <w:kern w:val="0"/>
                <w:sz w:val="20"/>
                <w:szCs w:val="20"/>
              </w:rPr>
            </w:pPr>
            <w:r>
              <w:rPr>
                <w:rFonts w:hint="eastAsia" w:ascii="宋体" w:hAnsi="宋体" w:cs="宋体"/>
                <w:kern w:val="0"/>
                <w:sz w:val="20"/>
                <w:szCs w:val="20"/>
              </w:rPr>
              <w:t>17</w:t>
            </w:r>
          </w:p>
        </w:tc>
        <w:tc>
          <w:tcPr>
            <w:tcW w:w="1079" w:type="dxa"/>
            <w:tcBorders>
              <w:top w:val="nil"/>
              <w:left w:val="nil"/>
              <w:bottom w:val="single" w:color="000000" w:sz="8" w:space="0"/>
              <w:right w:val="single" w:color="000000" w:sz="8" w:space="0"/>
            </w:tcBorders>
            <w:vAlign w:val="center"/>
          </w:tcPr>
          <w:p w14:paraId="38A81582">
            <w:pPr>
              <w:widowControl/>
              <w:wordWrap w:val="0"/>
              <w:jc w:val="center"/>
              <w:rPr>
                <w:rFonts w:ascii="宋体" w:hAnsi="宋体" w:cs="宋体"/>
                <w:kern w:val="0"/>
                <w:sz w:val="20"/>
                <w:szCs w:val="20"/>
              </w:rPr>
            </w:pPr>
            <w:r>
              <w:rPr>
                <w:rFonts w:hint="eastAsia" w:ascii="宋体" w:hAnsi="宋体" w:cs="宋体"/>
                <w:kern w:val="0"/>
                <w:sz w:val="20"/>
                <w:szCs w:val="20"/>
              </w:rPr>
              <w:t>A060807便器冲洗阀</w:t>
            </w:r>
          </w:p>
        </w:tc>
        <w:tc>
          <w:tcPr>
            <w:tcW w:w="1319" w:type="dxa"/>
            <w:tcBorders>
              <w:top w:val="nil"/>
              <w:left w:val="nil"/>
              <w:bottom w:val="single" w:color="000000" w:sz="8" w:space="0"/>
              <w:right w:val="single" w:color="000000" w:sz="8" w:space="0"/>
            </w:tcBorders>
            <w:vAlign w:val="center"/>
          </w:tcPr>
          <w:p w14:paraId="15337EF4">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1622" w:type="dxa"/>
            <w:tcBorders>
              <w:top w:val="nil"/>
              <w:left w:val="nil"/>
              <w:bottom w:val="single" w:color="000000" w:sz="8" w:space="0"/>
              <w:right w:val="single" w:color="000000" w:sz="8" w:space="0"/>
            </w:tcBorders>
            <w:vAlign w:val="center"/>
          </w:tcPr>
          <w:p w14:paraId="79407710">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79C78ED6">
            <w:pPr>
              <w:widowControl/>
              <w:wordWrap w:val="0"/>
              <w:jc w:val="left"/>
              <w:rPr>
                <w:rFonts w:ascii="宋体" w:hAnsi="宋体" w:cs="宋体"/>
                <w:kern w:val="0"/>
                <w:sz w:val="20"/>
                <w:szCs w:val="20"/>
              </w:rPr>
            </w:pPr>
            <w:r>
              <w:rPr>
                <w:rFonts w:hint="eastAsia" w:ascii="宋体" w:hAnsi="宋体" w:cs="宋体"/>
                <w:kern w:val="0"/>
                <w:sz w:val="20"/>
                <w:szCs w:val="20"/>
              </w:rPr>
              <w:t>《便器冲洗阀用水效率限定值及用水效率等级》（GB28379）</w:t>
            </w:r>
          </w:p>
        </w:tc>
      </w:tr>
      <w:tr w14:paraId="6880012C">
        <w:tblPrEx>
          <w:tblCellMar>
            <w:top w:w="0" w:type="dxa"/>
            <w:left w:w="108" w:type="dxa"/>
            <w:bottom w:w="0" w:type="dxa"/>
            <w:right w:w="108" w:type="dxa"/>
          </w:tblCellMar>
        </w:tblPrEx>
        <w:trPr>
          <w:trHeight w:val="691" w:hRule="atLeast"/>
        </w:trPr>
        <w:tc>
          <w:tcPr>
            <w:tcW w:w="659" w:type="dxa"/>
            <w:tcBorders>
              <w:top w:val="nil"/>
              <w:left w:val="single" w:color="000000" w:sz="8" w:space="0"/>
              <w:bottom w:val="single" w:color="000000" w:sz="8" w:space="0"/>
              <w:right w:val="single" w:color="000000" w:sz="8" w:space="0"/>
            </w:tcBorders>
            <w:vAlign w:val="center"/>
          </w:tcPr>
          <w:p w14:paraId="6DD648A6">
            <w:pPr>
              <w:widowControl/>
              <w:wordWrap w:val="0"/>
              <w:jc w:val="center"/>
              <w:rPr>
                <w:rFonts w:ascii="宋体" w:hAnsi="宋体" w:cs="宋体"/>
                <w:kern w:val="0"/>
                <w:sz w:val="20"/>
                <w:szCs w:val="20"/>
              </w:rPr>
            </w:pPr>
            <w:r>
              <w:rPr>
                <w:rFonts w:hint="eastAsia" w:ascii="宋体" w:hAnsi="宋体" w:cs="宋体"/>
                <w:kern w:val="0"/>
                <w:sz w:val="20"/>
                <w:szCs w:val="20"/>
              </w:rPr>
              <w:t>18</w:t>
            </w:r>
          </w:p>
        </w:tc>
        <w:tc>
          <w:tcPr>
            <w:tcW w:w="1079" w:type="dxa"/>
            <w:tcBorders>
              <w:top w:val="nil"/>
              <w:left w:val="nil"/>
              <w:bottom w:val="single" w:color="000000" w:sz="8" w:space="0"/>
              <w:right w:val="single" w:color="000000" w:sz="8" w:space="0"/>
            </w:tcBorders>
            <w:vAlign w:val="center"/>
          </w:tcPr>
          <w:p w14:paraId="432D4944">
            <w:pPr>
              <w:widowControl/>
              <w:wordWrap w:val="0"/>
              <w:jc w:val="center"/>
              <w:rPr>
                <w:rFonts w:ascii="宋体" w:hAnsi="宋体" w:cs="宋体"/>
                <w:kern w:val="0"/>
                <w:sz w:val="20"/>
                <w:szCs w:val="20"/>
              </w:rPr>
            </w:pPr>
            <w:r>
              <w:rPr>
                <w:rFonts w:hint="eastAsia" w:ascii="宋体" w:hAnsi="宋体" w:cs="宋体"/>
                <w:kern w:val="0"/>
                <w:sz w:val="20"/>
                <w:szCs w:val="20"/>
              </w:rPr>
              <w:t>A060810淋浴器</w:t>
            </w:r>
          </w:p>
        </w:tc>
        <w:tc>
          <w:tcPr>
            <w:tcW w:w="1319" w:type="dxa"/>
            <w:tcBorders>
              <w:top w:val="nil"/>
              <w:left w:val="nil"/>
              <w:bottom w:val="single" w:color="000000" w:sz="8" w:space="0"/>
              <w:right w:val="single" w:color="000000" w:sz="8" w:space="0"/>
            </w:tcBorders>
            <w:vAlign w:val="center"/>
          </w:tcPr>
          <w:p w14:paraId="665A6922">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1622" w:type="dxa"/>
            <w:tcBorders>
              <w:top w:val="nil"/>
              <w:left w:val="nil"/>
              <w:bottom w:val="single" w:color="000000" w:sz="8" w:space="0"/>
              <w:right w:val="single" w:color="000000" w:sz="8" w:space="0"/>
            </w:tcBorders>
            <w:vAlign w:val="center"/>
          </w:tcPr>
          <w:p w14:paraId="61D23642">
            <w:pPr>
              <w:widowControl/>
              <w:wordWrap w:val="0"/>
              <w:jc w:val="center"/>
              <w:rPr>
                <w:rFonts w:ascii="宋体" w:hAnsi="宋体" w:cs="宋体"/>
                <w:kern w:val="0"/>
                <w:sz w:val="20"/>
                <w:szCs w:val="20"/>
              </w:rPr>
            </w:pPr>
            <w:r>
              <w:rPr>
                <w:rFonts w:hint="eastAsia" w:ascii="宋体" w:hAnsi="宋体" w:cs="宋体"/>
                <w:kern w:val="0"/>
                <w:sz w:val="20"/>
                <w:szCs w:val="20"/>
              </w:rPr>
              <w:t>　</w:t>
            </w:r>
          </w:p>
        </w:tc>
        <w:tc>
          <w:tcPr>
            <w:tcW w:w="4753" w:type="dxa"/>
            <w:tcBorders>
              <w:top w:val="nil"/>
              <w:left w:val="nil"/>
              <w:bottom w:val="single" w:color="000000" w:sz="8" w:space="0"/>
              <w:right w:val="single" w:color="000000" w:sz="8" w:space="0"/>
            </w:tcBorders>
            <w:vAlign w:val="center"/>
          </w:tcPr>
          <w:p w14:paraId="66D05145">
            <w:pPr>
              <w:widowControl/>
              <w:wordWrap w:val="0"/>
              <w:jc w:val="left"/>
              <w:rPr>
                <w:rFonts w:ascii="宋体" w:hAnsi="宋体" w:cs="宋体"/>
                <w:kern w:val="0"/>
                <w:sz w:val="20"/>
                <w:szCs w:val="20"/>
              </w:rPr>
            </w:pPr>
            <w:r>
              <w:rPr>
                <w:rFonts w:hint="eastAsia" w:ascii="宋体" w:hAnsi="宋体" w:cs="宋体"/>
                <w:kern w:val="0"/>
                <w:sz w:val="20"/>
                <w:szCs w:val="20"/>
              </w:rPr>
              <w:t>《淋浴器用水效率限定值及用水效率等级》（GB28378）</w:t>
            </w:r>
          </w:p>
        </w:tc>
      </w:tr>
    </w:tbl>
    <w:p w14:paraId="4545095A">
      <w:pPr>
        <w:wordWrap w:val="0"/>
        <w:spacing w:line="360" w:lineRule="auto"/>
        <w:rPr>
          <w:rFonts w:ascii="宋体" w:hAnsi="宋体" w:cs="宋体"/>
          <w:szCs w:val="21"/>
        </w:rPr>
      </w:pPr>
      <w:r>
        <w:rPr>
          <w:rFonts w:hint="eastAsia" w:ascii="宋体" w:hAnsi="宋体" w:cs="宋体"/>
          <w:spacing w:val="-3"/>
          <w:szCs w:val="21"/>
        </w:rPr>
        <w:t>注：1.节能产品认证应依据相关国家标准的最新版本，依据国家标准中二级能效（水效）</w:t>
      </w:r>
      <w:r>
        <w:rPr>
          <w:rFonts w:hint="eastAsia" w:ascii="宋体" w:hAnsi="宋体" w:cs="宋体"/>
          <w:szCs w:val="21"/>
        </w:rPr>
        <w:t>指标。</w:t>
      </w:r>
    </w:p>
    <w:p w14:paraId="7EA59D78">
      <w:pPr>
        <w:wordWrap w:val="0"/>
        <w:spacing w:line="360" w:lineRule="auto"/>
        <w:rPr>
          <w:rFonts w:ascii="宋体" w:hAnsi="宋体" w:cs="宋体"/>
          <w:b/>
          <w:bCs/>
          <w:szCs w:val="21"/>
        </w:rPr>
      </w:pPr>
      <w:r>
        <w:rPr>
          <w:rFonts w:hint="eastAsia" w:ascii="宋体" w:hAnsi="宋体" w:cs="宋体"/>
          <w:szCs w:val="21"/>
        </w:rPr>
        <w:t xml:space="preserve">    2</w:t>
      </w:r>
      <w:r>
        <w:rPr>
          <w:rFonts w:hint="eastAsia" w:ascii="宋体" w:hAnsi="宋体" w:cs="宋体"/>
          <w:b/>
          <w:bCs/>
          <w:szCs w:val="21"/>
        </w:rPr>
        <w:t>.以“★”标注的为政府强制采购产品。</w:t>
      </w:r>
    </w:p>
    <w:p w14:paraId="6EC2FEE4">
      <w:pPr>
        <w:wordWrap w:val="0"/>
        <w:spacing w:line="360" w:lineRule="auto"/>
        <w:jc w:val="left"/>
        <w:rPr>
          <w:rFonts w:hAnsi="宋体" w:cs="宋体"/>
        </w:rPr>
        <w:sectPr>
          <w:pgSz w:w="11905" w:h="16838"/>
          <w:pgMar w:top="1440" w:right="1417" w:bottom="1440" w:left="1417" w:header="850" w:footer="850" w:gutter="0"/>
          <w:cols w:space="720" w:num="1"/>
          <w:docGrid w:type="lines" w:linePitch="332" w:charSpace="0"/>
        </w:sectPr>
      </w:pPr>
    </w:p>
    <w:p w14:paraId="202C0633">
      <w:pPr>
        <w:wordWrap w:val="0"/>
        <w:spacing w:line="360" w:lineRule="auto"/>
        <w:jc w:val="left"/>
        <w:outlineLvl w:val="1"/>
        <w:rPr>
          <w:rFonts w:ascii="宋体" w:hAnsi="宋体" w:cs="宋体"/>
          <w:sz w:val="32"/>
          <w:szCs w:val="32"/>
        </w:rPr>
      </w:pPr>
      <w:bookmarkStart w:id="44" w:name="_Toc29806"/>
      <w:bookmarkStart w:id="45" w:name="_Toc24206"/>
      <w:r>
        <w:rPr>
          <w:rFonts w:hint="eastAsia" w:ascii="宋体" w:hAnsi="宋体" w:cs="宋体"/>
          <w:sz w:val="32"/>
          <w:szCs w:val="32"/>
        </w:rPr>
        <w:t>附件2：</w:t>
      </w:r>
      <w:bookmarkEnd w:id="44"/>
      <w:bookmarkEnd w:id="45"/>
    </w:p>
    <w:p w14:paraId="07AE3E0B">
      <w:pPr>
        <w:wordWrap w:val="0"/>
        <w:spacing w:line="360" w:lineRule="auto"/>
        <w:jc w:val="center"/>
        <w:rPr>
          <w:rFonts w:ascii="宋体" w:hAnsi="宋体" w:cs="宋体"/>
          <w:sz w:val="40"/>
          <w:szCs w:val="40"/>
        </w:rPr>
      </w:pPr>
      <w:r>
        <w:rPr>
          <w:rFonts w:hint="eastAsia" w:ascii="宋体" w:hAnsi="宋体" w:cs="宋体"/>
          <w:sz w:val="40"/>
          <w:szCs w:val="40"/>
        </w:rPr>
        <w:t>中小微企业划型标准</w:t>
      </w:r>
    </w:p>
    <w:tbl>
      <w:tblPr>
        <w:tblStyle w:val="25"/>
        <w:tblW w:w="9537" w:type="dxa"/>
        <w:tblInd w:w="0" w:type="dxa"/>
        <w:tblLayout w:type="fixed"/>
        <w:tblCellMar>
          <w:top w:w="0" w:type="dxa"/>
          <w:left w:w="108" w:type="dxa"/>
          <w:bottom w:w="0" w:type="dxa"/>
          <w:right w:w="108" w:type="dxa"/>
        </w:tblCellMar>
      </w:tblPr>
      <w:tblGrid>
        <w:gridCol w:w="2033"/>
        <w:gridCol w:w="1653"/>
        <w:gridCol w:w="1091"/>
        <w:gridCol w:w="1935"/>
        <w:gridCol w:w="1720"/>
        <w:gridCol w:w="1105"/>
      </w:tblGrid>
      <w:tr w14:paraId="0E0DDAAA">
        <w:tblPrEx>
          <w:tblCellMar>
            <w:top w:w="0" w:type="dxa"/>
            <w:left w:w="108" w:type="dxa"/>
            <w:bottom w:w="0" w:type="dxa"/>
            <w:right w:w="108" w:type="dxa"/>
          </w:tblCellMar>
        </w:tblPrEx>
        <w:trPr>
          <w:trHeight w:val="285" w:hRule="atLeast"/>
        </w:trPr>
        <w:tc>
          <w:tcPr>
            <w:tcW w:w="2033" w:type="dxa"/>
            <w:tcBorders>
              <w:top w:val="single" w:color="auto" w:sz="4" w:space="0"/>
              <w:left w:val="single" w:color="auto" w:sz="4" w:space="0"/>
              <w:bottom w:val="single" w:color="auto" w:sz="4" w:space="0"/>
              <w:right w:val="single" w:color="auto" w:sz="4" w:space="0"/>
            </w:tcBorders>
            <w:vAlign w:val="center"/>
          </w:tcPr>
          <w:p w14:paraId="681AC061">
            <w:pPr>
              <w:widowControl/>
              <w:wordWrap w:val="0"/>
              <w:jc w:val="left"/>
              <w:rPr>
                <w:rFonts w:ascii="宋体" w:hAnsi="宋体" w:cs="宋体"/>
                <w:b/>
                <w:kern w:val="0"/>
                <w:szCs w:val="21"/>
              </w:rPr>
            </w:pPr>
            <w:r>
              <w:rPr>
                <w:rFonts w:hint="eastAsia" w:ascii="宋体" w:hAnsi="宋体" w:cs="宋体"/>
                <w:b/>
                <w:kern w:val="0"/>
                <w:szCs w:val="21"/>
              </w:rPr>
              <w:t>行业名称</w:t>
            </w:r>
          </w:p>
        </w:tc>
        <w:tc>
          <w:tcPr>
            <w:tcW w:w="1653" w:type="dxa"/>
            <w:tcBorders>
              <w:top w:val="single" w:color="auto" w:sz="4" w:space="0"/>
              <w:left w:val="nil"/>
              <w:bottom w:val="single" w:color="auto" w:sz="4" w:space="0"/>
              <w:right w:val="single" w:color="auto" w:sz="4" w:space="0"/>
            </w:tcBorders>
            <w:vAlign w:val="center"/>
          </w:tcPr>
          <w:p w14:paraId="48EC2C8D">
            <w:pPr>
              <w:widowControl/>
              <w:wordWrap w:val="0"/>
              <w:jc w:val="left"/>
              <w:rPr>
                <w:rFonts w:ascii="宋体" w:hAnsi="宋体" w:cs="宋体"/>
                <w:b/>
                <w:kern w:val="0"/>
                <w:szCs w:val="21"/>
              </w:rPr>
            </w:pPr>
            <w:r>
              <w:rPr>
                <w:rFonts w:hint="eastAsia" w:ascii="宋体" w:hAnsi="宋体" w:cs="宋体"/>
                <w:b/>
                <w:kern w:val="0"/>
                <w:szCs w:val="21"/>
              </w:rPr>
              <w:t>指标名称</w:t>
            </w:r>
          </w:p>
        </w:tc>
        <w:tc>
          <w:tcPr>
            <w:tcW w:w="1091" w:type="dxa"/>
            <w:tcBorders>
              <w:top w:val="single" w:color="auto" w:sz="4" w:space="0"/>
              <w:left w:val="nil"/>
              <w:bottom w:val="single" w:color="auto" w:sz="4" w:space="0"/>
              <w:right w:val="single" w:color="auto" w:sz="4" w:space="0"/>
            </w:tcBorders>
            <w:vAlign w:val="center"/>
          </w:tcPr>
          <w:p w14:paraId="1F3B1BE7">
            <w:pPr>
              <w:widowControl/>
              <w:wordWrap w:val="0"/>
              <w:jc w:val="left"/>
              <w:rPr>
                <w:rFonts w:ascii="宋体" w:hAnsi="宋体" w:cs="宋体"/>
                <w:b/>
                <w:kern w:val="0"/>
                <w:szCs w:val="21"/>
              </w:rPr>
            </w:pPr>
            <w:r>
              <w:rPr>
                <w:rFonts w:hint="eastAsia" w:ascii="宋体" w:hAnsi="宋体" w:cs="宋体"/>
                <w:b/>
                <w:kern w:val="0"/>
                <w:szCs w:val="21"/>
              </w:rPr>
              <w:t>计量单位</w:t>
            </w:r>
          </w:p>
        </w:tc>
        <w:tc>
          <w:tcPr>
            <w:tcW w:w="1935" w:type="dxa"/>
            <w:tcBorders>
              <w:top w:val="single" w:color="auto" w:sz="4" w:space="0"/>
              <w:left w:val="nil"/>
              <w:bottom w:val="single" w:color="auto" w:sz="4" w:space="0"/>
              <w:right w:val="single" w:color="auto" w:sz="4" w:space="0"/>
            </w:tcBorders>
            <w:vAlign w:val="center"/>
          </w:tcPr>
          <w:p w14:paraId="41A871CB">
            <w:pPr>
              <w:widowControl/>
              <w:wordWrap w:val="0"/>
              <w:jc w:val="left"/>
              <w:rPr>
                <w:rFonts w:ascii="宋体" w:hAnsi="宋体" w:cs="宋体"/>
                <w:b/>
                <w:kern w:val="0"/>
                <w:szCs w:val="21"/>
              </w:rPr>
            </w:pPr>
            <w:r>
              <w:rPr>
                <w:rFonts w:hint="eastAsia" w:ascii="宋体" w:hAnsi="宋体" w:cs="宋体"/>
                <w:b/>
                <w:kern w:val="0"/>
                <w:szCs w:val="21"/>
              </w:rPr>
              <w:t>中型</w:t>
            </w:r>
          </w:p>
        </w:tc>
        <w:tc>
          <w:tcPr>
            <w:tcW w:w="1720" w:type="dxa"/>
            <w:tcBorders>
              <w:top w:val="single" w:color="auto" w:sz="4" w:space="0"/>
              <w:left w:val="nil"/>
              <w:bottom w:val="single" w:color="auto" w:sz="4" w:space="0"/>
              <w:right w:val="single" w:color="auto" w:sz="4" w:space="0"/>
            </w:tcBorders>
            <w:vAlign w:val="center"/>
          </w:tcPr>
          <w:p w14:paraId="5301A009">
            <w:pPr>
              <w:widowControl/>
              <w:wordWrap w:val="0"/>
              <w:jc w:val="left"/>
              <w:rPr>
                <w:rFonts w:ascii="宋体" w:hAnsi="宋体" w:cs="宋体"/>
                <w:b/>
                <w:kern w:val="0"/>
                <w:szCs w:val="21"/>
              </w:rPr>
            </w:pPr>
            <w:r>
              <w:rPr>
                <w:rFonts w:hint="eastAsia" w:ascii="宋体" w:hAnsi="宋体" w:cs="宋体"/>
                <w:b/>
                <w:kern w:val="0"/>
                <w:szCs w:val="21"/>
              </w:rPr>
              <w:t>小型</w:t>
            </w:r>
          </w:p>
        </w:tc>
        <w:tc>
          <w:tcPr>
            <w:tcW w:w="1105" w:type="dxa"/>
            <w:tcBorders>
              <w:top w:val="single" w:color="auto" w:sz="4" w:space="0"/>
              <w:left w:val="nil"/>
              <w:bottom w:val="single" w:color="auto" w:sz="4" w:space="0"/>
              <w:right w:val="single" w:color="auto" w:sz="4" w:space="0"/>
            </w:tcBorders>
            <w:vAlign w:val="center"/>
          </w:tcPr>
          <w:p w14:paraId="7F354AF0">
            <w:pPr>
              <w:widowControl/>
              <w:wordWrap w:val="0"/>
              <w:jc w:val="left"/>
              <w:rPr>
                <w:rFonts w:ascii="宋体" w:hAnsi="宋体" w:cs="宋体"/>
                <w:b/>
                <w:kern w:val="0"/>
                <w:szCs w:val="21"/>
              </w:rPr>
            </w:pPr>
            <w:r>
              <w:rPr>
                <w:rFonts w:hint="eastAsia" w:ascii="宋体" w:hAnsi="宋体" w:cs="宋体"/>
                <w:b/>
                <w:kern w:val="0"/>
                <w:szCs w:val="21"/>
              </w:rPr>
              <w:t>微型</w:t>
            </w:r>
          </w:p>
        </w:tc>
      </w:tr>
      <w:tr w14:paraId="7206DA9D">
        <w:tblPrEx>
          <w:tblCellMar>
            <w:top w:w="0" w:type="dxa"/>
            <w:left w:w="108" w:type="dxa"/>
            <w:bottom w:w="0" w:type="dxa"/>
            <w:right w:w="108" w:type="dxa"/>
          </w:tblCellMar>
        </w:tblPrEx>
        <w:trPr>
          <w:trHeight w:val="225" w:hRule="atLeast"/>
        </w:trPr>
        <w:tc>
          <w:tcPr>
            <w:tcW w:w="2033" w:type="dxa"/>
            <w:tcBorders>
              <w:top w:val="nil"/>
              <w:left w:val="single" w:color="auto" w:sz="4" w:space="0"/>
              <w:bottom w:val="single" w:color="auto" w:sz="4" w:space="0"/>
              <w:right w:val="single" w:color="auto" w:sz="4" w:space="0"/>
            </w:tcBorders>
            <w:vAlign w:val="bottom"/>
          </w:tcPr>
          <w:p w14:paraId="24D1E823">
            <w:pPr>
              <w:widowControl/>
              <w:wordWrap w:val="0"/>
              <w:jc w:val="center"/>
              <w:rPr>
                <w:rFonts w:ascii="宋体" w:hAnsi="宋体" w:cs="宋体"/>
                <w:b/>
                <w:bCs/>
                <w:kern w:val="0"/>
                <w:szCs w:val="21"/>
              </w:rPr>
            </w:pPr>
            <w:r>
              <w:rPr>
                <w:rFonts w:hint="eastAsia" w:ascii="宋体" w:hAnsi="宋体" w:cs="宋体"/>
                <w:b/>
                <w:bCs/>
                <w:kern w:val="0"/>
                <w:szCs w:val="21"/>
              </w:rPr>
              <w:t>农、林、牧、渔</w:t>
            </w:r>
          </w:p>
        </w:tc>
        <w:tc>
          <w:tcPr>
            <w:tcW w:w="1653" w:type="dxa"/>
            <w:tcBorders>
              <w:top w:val="nil"/>
              <w:left w:val="nil"/>
              <w:bottom w:val="single" w:color="auto" w:sz="4" w:space="0"/>
              <w:right w:val="single" w:color="auto" w:sz="4" w:space="0"/>
            </w:tcBorders>
            <w:vAlign w:val="center"/>
          </w:tcPr>
          <w:p w14:paraId="1E704D2A">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4C471D63">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370DF22D">
            <w:pPr>
              <w:widowControl/>
              <w:wordWrap w:val="0"/>
              <w:jc w:val="left"/>
              <w:rPr>
                <w:rFonts w:ascii="宋体" w:hAnsi="宋体" w:cs="宋体"/>
                <w:kern w:val="0"/>
                <w:szCs w:val="21"/>
              </w:rPr>
            </w:pPr>
            <w:r>
              <w:rPr>
                <w:rFonts w:hint="eastAsia" w:ascii="宋体" w:hAnsi="宋体" w:cs="宋体"/>
                <w:kern w:val="0"/>
                <w:szCs w:val="21"/>
              </w:rPr>
              <w:t>500≤Y＜20000</w:t>
            </w:r>
          </w:p>
        </w:tc>
        <w:tc>
          <w:tcPr>
            <w:tcW w:w="1720" w:type="dxa"/>
            <w:tcBorders>
              <w:top w:val="nil"/>
              <w:left w:val="nil"/>
              <w:bottom w:val="single" w:color="auto" w:sz="4" w:space="0"/>
              <w:right w:val="single" w:color="auto" w:sz="4" w:space="0"/>
            </w:tcBorders>
            <w:vAlign w:val="center"/>
          </w:tcPr>
          <w:p w14:paraId="429061A4">
            <w:pPr>
              <w:widowControl/>
              <w:wordWrap w:val="0"/>
              <w:jc w:val="left"/>
              <w:rPr>
                <w:rFonts w:ascii="宋体" w:hAnsi="宋体" w:cs="宋体"/>
                <w:kern w:val="0"/>
                <w:szCs w:val="21"/>
              </w:rPr>
            </w:pPr>
            <w:r>
              <w:rPr>
                <w:rFonts w:hint="eastAsia" w:ascii="宋体" w:hAnsi="宋体" w:cs="宋体"/>
                <w:kern w:val="0"/>
                <w:szCs w:val="21"/>
              </w:rPr>
              <w:t>50≤Y＜500</w:t>
            </w:r>
          </w:p>
        </w:tc>
        <w:tc>
          <w:tcPr>
            <w:tcW w:w="1105" w:type="dxa"/>
            <w:tcBorders>
              <w:top w:val="nil"/>
              <w:left w:val="nil"/>
              <w:bottom w:val="single" w:color="auto" w:sz="4" w:space="0"/>
              <w:right w:val="single" w:color="auto" w:sz="4" w:space="0"/>
            </w:tcBorders>
            <w:vAlign w:val="center"/>
          </w:tcPr>
          <w:p w14:paraId="3424F0D1">
            <w:pPr>
              <w:widowControl/>
              <w:wordWrap w:val="0"/>
              <w:jc w:val="left"/>
              <w:rPr>
                <w:rFonts w:ascii="宋体" w:hAnsi="宋体" w:cs="宋体"/>
                <w:kern w:val="0"/>
                <w:szCs w:val="21"/>
              </w:rPr>
            </w:pPr>
            <w:r>
              <w:rPr>
                <w:rFonts w:hint="eastAsia" w:ascii="宋体" w:hAnsi="宋体" w:cs="宋体"/>
                <w:kern w:val="0"/>
                <w:szCs w:val="21"/>
              </w:rPr>
              <w:t>Y＜50</w:t>
            </w:r>
          </w:p>
        </w:tc>
      </w:tr>
      <w:tr w14:paraId="726AD4D2">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2A197C79">
            <w:pPr>
              <w:widowControl/>
              <w:wordWrap w:val="0"/>
              <w:jc w:val="center"/>
              <w:rPr>
                <w:rFonts w:ascii="宋体" w:hAnsi="宋体" w:cs="宋体"/>
                <w:b/>
                <w:bCs/>
                <w:kern w:val="0"/>
                <w:szCs w:val="21"/>
              </w:rPr>
            </w:pPr>
            <w:r>
              <w:rPr>
                <w:rFonts w:hint="eastAsia" w:ascii="宋体" w:hAnsi="宋体" w:cs="宋体"/>
                <w:b/>
                <w:bCs/>
                <w:kern w:val="0"/>
                <w:szCs w:val="21"/>
              </w:rPr>
              <w:t>工业</w:t>
            </w:r>
          </w:p>
        </w:tc>
        <w:tc>
          <w:tcPr>
            <w:tcW w:w="1653" w:type="dxa"/>
            <w:tcBorders>
              <w:top w:val="nil"/>
              <w:left w:val="nil"/>
              <w:bottom w:val="single" w:color="auto" w:sz="4" w:space="0"/>
              <w:right w:val="single" w:color="auto" w:sz="4" w:space="0"/>
            </w:tcBorders>
            <w:vAlign w:val="center"/>
          </w:tcPr>
          <w:p w14:paraId="64A5A0BD">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5BEA4F03">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218BF0B1">
            <w:pPr>
              <w:widowControl/>
              <w:wordWrap w:val="0"/>
              <w:jc w:val="left"/>
              <w:rPr>
                <w:rFonts w:ascii="宋体" w:hAnsi="宋体" w:cs="宋体"/>
                <w:kern w:val="0"/>
                <w:szCs w:val="21"/>
              </w:rPr>
            </w:pPr>
            <w:r>
              <w:rPr>
                <w:rFonts w:hint="eastAsia" w:ascii="宋体" w:hAnsi="宋体" w:cs="宋体"/>
                <w:kern w:val="0"/>
                <w:szCs w:val="21"/>
              </w:rPr>
              <w:t>300≤X＜1000</w:t>
            </w:r>
          </w:p>
        </w:tc>
        <w:tc>
          <w:tcPr>
            <w:tcW w:w="1720" w:type="dxa"/>
            <w:tcBorders>
              <w:top w:val="nil"/>
              <w:left w:val="nil"/>
              <w:bottom w:val="single" w:color="auto" w:sz="4" w:space="0"/>
              <w:right w:val="single" w:color="auto" w:sz="4" w:space="0"/>
            </w:tcBorders>
            <w:vAlign w:val="center"/>
          </w:tcPr>
          <w:p w14:paraId="5FB6CD86">
            <w:pPr>
              <w:widowControl/>
              <w:wordWrap w:val="0"/>
              <w:jc w:val="left"/>
              <w:rPr>
                <w:rFonts w:ascii="宋体" w:hAnsi="宋体" w:cs="宋体"/>
                <w:kern w:val="0"/>
                <w:szCs w:val="21"/>
              </w:rPr>
            </w:pPr>
            <w:r>
              <w:rPr>
                <w:rFonts w:hint="eastAsia" w:ascii="宋体" w:hAnsi="宋体" w:cs="宋体"/>
                <w:kern w:val="0"/>
                <w:szCs w:val="21"/>
              </w:rPr>
              <w:t>20≤X＜300</w:t>
            </w:r>
          </w:p>
        </w:tc>
        <w:tc>
          <w:tcPr>
            <w:tcW w:w="1105" w:type="dxa"/>
            <w:tcBorders>
              <w:top w:val="nil"/>
              <w:left w:val="nil"/>
              <w:bottom w:val="single" w:color="auto" w:sz="4" w:space="0"/>
              <w:right w:val="single" w:color="auto" w:sz="4" w:space="0"/>
            </w:tcBorders>
            <w:vAlign w:val="center"/>
          </w:tcPr>
          <w:p w14:paraId="7136711B">
            <w:pPr>
              <w:widowControl/>
              <w:wordWrap w:val="0"/>
              <w:jc w:val="left"/>
              <w:rPr>
                <w:rFonts w:ascii="宋体" w:hAnsi="宋体" w:cs="宋体"/>
                <w:kern w:val="0"/>
                <w:szCs w:val="21"/>
              </w:rPr>
            </w:pPr>
            <w:r>
              <w:rPr>
                <w:rFonts w:hint="eastAsia" w:ascii="宋体" w:hAnsi="宋体" w:cs="宋体"/>
                <w:kern w:val="0"/>
                <w:szCs w:val="21"/>
              </w:rPr>
              <w:t>X＜20</w:t>
            </w:r>
          </w:p>
        </w:tc>
      </w:tr>
      <w:tr w14:paraId="07738D50">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2EDBB5F3">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69EE09DF">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30003074">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02DA7566">
            <w:pPr>
              <w:widowControl/>
              <w:wordWrap w:val="0"/>
              <w:jc w:val="left"/>
              <w:rPr>
                <w:rFonts w:ascii="宋体" w:hAnsi="宋体" w:cs="宋体"/>
                <w:kern w:val="0"/>
                <w:szCs w:val="21"/>
              </w:rPr>
            </w:pPr>
            <w:r>
              <w:rPr>
                <w:rFonts w:hint="eastAsia" w:ascii="宋体" w:hAnsi="宋体" w:cs="宋体"/>
                <w:kern w:val="0"/>
                <w:szCs w:val="21"/>
              </w:rPr>
              <w:t>2000≤Y＜40000</w:t>
            </w:r>
          </w:p>
        </w:tc>
        <w:tc>
          <w:tcPr>
            <w:tcW w:w="1720" w:type="dxa"/>
            <w:tcBorders>
              <w:top w:val="nil"/>
              <w:left w:val="nil"/>
              <w:bottom w:val="single" w:color="auto" w:sz="4" w:space="0"/>
              <w:right w:val="single" w:color="auto" w:sz="4" w:space="0"/>
            </w:tcBorders>
            <w:vAlign w:val="center"/>
          </w:tcPr>
          <w:p w14:paraId="1534B218">
            <w:pPr>
              <w:widowControl/>
              <w:wordWrap w:val="0"/>
              <w:jc w:val="left"/>
              <w:rPr>
                <w:rFonts w:ascii="宋体" w:hAnsi="宋体" w:cs="宋体"/>
                <w:kern w:val="0"/>
                <w:szCs w:val="21"/>
              </w:rPr>
            </w:pPr>
            <w:r>
              <w:rPr>
                <w:rFonts w:hint="eastAsia" w:ascii="宋体" w:hAnsi="宋体" w:cs="宋体"/>
                <w:kern w:val="0"/>
                <w:szCs w:val="21"/>
              </w:rPr>
              <w:t>300≤Y＜2000</w:t>
            </w:r>
          </w:p>
        </w:tc>
        <w:tc>
          <w:tcPr>
            <w:tcW w:w="1105" w:type="dxa"/>
            <w:tcBorders>
              <w:top w:val="nil"/>
              <w:left w:val="nil"/>
              <w:bottom w:val="single" w:color="auto" w:sz="4" w:space="0"/>
              <w:right w:val="single" w:color="auto" w:sz="4" w:space="0"/>
            </w:tcBorders>
            <w:vAlign w:val="center"/>
          </w:tcPr>
          <w:p w14:paraId="675114F2">
            <w:pPr>
              <w:widowControl/>
              <w:wordWrap w:val="0"/>
              <w:jc w:val="left"/>
              <w:rPr>
                <w:rFonts w:ascii="宋体" w:hAnsi="宋体" w:cs="宋体"/>
                <w:kern w:val="0"/>
                <w:szCs w:val="21"/>
              </w:rPr>
            </w:pPr>
            <w:r>
              <w:rPr>
                <w:rFonts w:hint="eastAsia" w:ascii="宋体" w:hAnsi="宋体" w:cs="宋体"/>
                <w:kern w:val="0"/>
                <w:szCs w:val="21"/>
              </w:rPr>
              <w:t>Y＜300</w:t>
            </w:r>
          </w:p>
        </w:tc>
      </w:tr>
      <w:tr w14:paraId="75E74F8B">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43C71B8D">
            <w:pPr>
              <w:widowControl/>
              <w:wordWrap w:val="0"/>
              <w:jc w:val="center"/>
              <w:rPr>
                <w:rFonts w:ascii="宋体" w:hAnsi="宋体" w:cs="宋体"/>
                <w:b/>
                <w:bCs/>
                <w:kern w:val="0"/>
                <w:szCs w:val="21"/>
              </w:rPr>
            </w:pPr>
            <w:r>
              <w:rPr>
                <w:rFonts w:hint="eastAsia" w:ascii="宋体" w:hAnsi="宋体" w:cs="宋体"/>
                <w:b/>
                <w:bCs/>
                <w:kern w:val="0"/>
                <w:szCs w:val="21"/>
              </w:rPr>
              <w:t>建筑业</w:t>
            </w:r>
          </w:p>
        </w:tc>
        <w:tc>
          <w:tcPr>
            <w:tcW w:w="1653" w:type="dxa"/>
            <w:tcBorders>
              <w:top w:val="nil"/>
              <w:left w:val="nil"/>
              <w:bottom w:val="single" w:color="auto" w:sz="4" w:space="0"/>
              <w:right w:val="single" w:color="auto" w:sz="4" w:space="0"/>
            </w:tcBorders>
            <w:vAlign w:val="center"/>
          </w:tcPr>
          <w:p w14:paraId="2F2B9037">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1E7497F4">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02AAE857">
            <w:pPr>
              <w:widowControl/>
              <w:wordWrap w:val="0"/>
              <w:jc w:val="left"/>
              <w:rPr>
                <w:rFonts w:ascii="宋体" w:hAnsi="宋体" w:cs="宋体"/>
                <w:kern w:val="0"/>
                <w:szCs w:val="21"/>
              </w:rPr>
            </w:pPr>
            <w:r>
              <w:rPr>
                <w:rFonts w:hint="eastAsia" w:ascii="宋体" w:hAnsi="宋体" w:cs="宋体"/>
                <w:kern w:val="0"/>
                <w:szCs w:val="21"/>
              </w:rPr>
              <w:t>6000≤Y＜80000</w:t>
            </w:r>
          </w:p>
        </w:tc>
        <w:tc>
          <w:tcPr>
            <w:tcW w:w="1720" w:type="dxa"/>
            <w:tcBorders>
              <w:top w:val="nil"/>
              <w:left w:val="nil"/>
              <w:bottom w:val="single" w:color="auto" w:sz="4" w:space="0"/>
              <w:right w:val="single" w:color="auto" w:sz="4" w:space="0"/>
            </w:tcBorders>
            <w:vAlign w:val="center"/>
          </w:tcPr>
          <w:p w14:paraId="3961081E">
            <w:pPr>
              <w:widowControl/>
              <w:wordWrap w:val="0"/>
              <w:jc w:val="left"/>
              <w:rPr>
                <w:rFonts w:ascii="宋体" w:hAnsi="宋体" w:cs="宋体"/>
                <w:kern w:val="0"/>
                <w:szCs w:val="21"/>
              </w:rPr>
            </w:pPr>
            <w:r>
              <w:rPr>
                <w:rFonts w:hint="eastAsia" w:ascii="宋体" w:hAnsi="宋体" w:cs="宋体"/>
                <w:kern w:val="0"/>
                <w:szCs w:val="21"/>
              </w:rPr>
              <w:t>300≤Y＜6000</w:t>
            </w:r>
          </w:p>
        </w:tc>
        <w:tc>
          <w:tcPr>
            <w:tcW w:w="1105" w:type="dxa"/>
            <w:tcBorders>
              <w:top w:val="nil"/>
              <w:left w:val="nil"/>
              <w:bottom w:val="single" w:color="auto" w:sz="4" w:space="0"/>
              <w:right w:val="single" w:color="auto" w:sz="4" w:space="0"/>
            </w:tcBorders>
            <w:vAlign w:val="center"/>
          </w:tcPr>
          <w:p w14:paraId="7AF7C4E1">
            <w:pPr>
              <w:widowControl/>
              <w:wordWrap w:val="0"/>
              <w:jc w:val="left"/>
              <w:rPr>
                <w:rFonts w:ascii="宋体" w:hAnsi="宋体" w:cs="宋体"/>
                <w:kern w:val="0"/>
                <w:szCs w:val="21"/>
              </w:rPr>
            </w:pPr>
            <w:r>
              <w:rPr>
                <w:rFonts w:hint="eastAsia" w:ascii="宋体" w:hAnsi="宋体" w:cs="宋体"/>
                <w:kern w:val="0"/>
                <w:szCs w:val="21"/>
              </w:rPr>
              <w:t>Y＜300</w:t>
            </w:r>
          </w:p>
        </w:tc>
      </w:tr>
      <w:tr w14:paraId="7CD5CFE7">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1AEE92A1">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3AA48056">
            <w:pPr>
              <w:widowControl/>
              <w:wordWrap w:val="0"/>
              <w:jc w:val="left"/>
              <w:rPr>
                <w:rFonts w:ascii="宋体" w:hAnsi="宋体" w:cs="宋体"/>
                <w:kern w:val="0"/>
                <w:szCs w:val="21"/>
              </w:rPr>
            </w:pPr>
            <w:r>
              <w:rPr>
                <w:rFonts w:hint="eastAsia" w:ascii="宋体" w:hAnsi="宋体" w:cs="宋体"/>
                <w:kern w:val="0"/>
                <w:szCs w:val="21"/>
              </w:rPr>
              <w:t>资产总额（Z）</w:t>
            </w:r>
          </w:p>
        </w:tc>
        <w:tc>
          <w:tcPr>
            <w:tcW w:w="1091" w:type="dxa"/>
            <w:tcBorders>
              <w:top w:val="nil"/>
              <w:left w:val="nil"/>
              <w:bottom w:val="single" w:color="auto" w:sz="4" w:space="0"/>
              <w:right w:val="single" w:color="auto" w:sz="4" w:space="0"/>
            </w:tcBorders>
            <w:vAlign w:val="center"/>
          </w:tcPr>
          <w:p w14:paraId="1CCA9292">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4B1D4739">
            <w:pPr>
              <w:widowControl/>
              <w:wordWrap w:val="0"/>
              <w:jc w:val="left"/>
              <w:rPr>
                <w:rFonts w:ascii="宋体" w:hAnsi="宋体" w:cs="宋体"/>
                <w:kern w:val="0"/>
                <w:szCs w:val="21"/>
              </w:rPr>
            </w:pPr>
            <w:r>
              <w:rPr>
                <w:rFonts w:hint="eastAsia" w:ascii="宋体" w:hAnsi="宋体" w:cs="宋体"/>
                <w:kern w:val="0"/>
                <w:szCs w:val="21"/>
              </w:rPr>
              <w:t>5000≤Z＜80000</w:t>
            </w:r>
          </w:p>
        </w:tc>
        <w:tc>
          <w:tcPr>
            <w:tcW w:w="1720" w:type="dxa"/>
            <w:tcBorders>
              <w:top w:val="nil"/>
              <w:left w:val="nil"/>
              <w:bottom w:val="single" w:color="auto" w:sz="4" w:space="0"/>
              <w:right w:val="single" w:color="auto" w:sz="4" w:space="0"/>
            </w:tcBorders>
            <w:vAlign w:val="center"/>
          </w:tcPr>
          <w:p w14:paraId="1A55AD06">
            <w:pPr>
              <w:widowControl/>
              <w:wordWrap w:val="0"/>
              <w:jc w:val="left"/>
              <w:rPr>
                <w:rFonts w:ascii="宋体" w:hAnsi="宋体" w:cs="宋体"/>
                <w:kern w:val="0"/>
                <w:szCs w:val="21"/>
              </w:rPr>
            </w:pPr>
            <w:r>
              <w:rPr>
                <w:rFonts w:hint="eastAsia" w:ascii="宋体" w:hAnsi="宋体" w:cs="宋体"/>
                <w:kern w:val="0"/>
                <w:szCs w:val="21"/>
              </w:rPr>
              <w:t>300≤Z＜5000</w:t>
            </w:r>
          </w:p>
        </w:tc>
        <w:tc>
          <w:tcPr>
            <w:tcW w:w="1105" w:type="dxa"/>
            <w:tcBorders>
              <w:top w:val="nil"/>
              <w:left w:val="nil"/>
              <w:bottom w:val="single" w:color="auto" w:sz="4" w:space="0"/>
              <w:right w:val="single" w:color="auto" w:sz="4" w:space="0"/>
            </w:tcBorders>
            <w:vAlign w:val="center"/>
          </w:tcPr>
          <w:p w14:paraId="4DF32D67">
            <w:pPr>
              <w:widowControl/>
              <w:wordWrap w:val="0"/>
              <w:jc w:val="left"/>
              <w:rPr>
                <w:rFonts w:ascii="宋体" w:hAnsi="宋体" w:cs="宋体"/>
                <w:kern w:val="0"/>
                <w:szCs w:val="21"/>
              </w:rPr>
            </w:pPr>
            <w:r>
              <w:rPr>
                <w:rFonts w:hint="eastAsia" w:ascii="宋体" w:hAnsi="宋体" w:cs="宋体"/>
                <w:kern w:val="0"/>
                <w:szCs w:val="21"/>
              </w:rPr>
              <w:t>Z＜300</w:t>
            </w:r>
          </w:p>
        </w:tc>
      </w:tr>
      <w:tr w14:paraId="62927765">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664406C7">
            <w:pPr>
              <w:widowControl/>
              <w:wordWrap w:val="0"/>
              <w:jc w:val="center"/>
              <w:rPr>
                <w:rFonts w:ascii="宋体" w:hAnsi="宋体" w:cs="宋体"/>
                <w:b/>
                <w:bCs/>
                <w:kern w:val="0"/>
                <w:szCs w:val="21"/>
              </w:rPr>
            </w:pPr>
            <w:r>
              <w:rPr>
                <w:rFonts w:hint="eastAsia" w:ascii="宋体" w:hAnsi="宋体" w:cs="宋体"/>
                <w:b/>
                <w:bCs/>
                <w:kern w:val="0"/>
                <w:szCs w:val="21"/>
              </w:rPr>
              <w:t>批发业</w:t>
            </w:r>
          </w:p>
        </w:tc>
        <w:tc>
          <w:tcPr>
            <w:tcW w:w="1653" w:type="dxa"/>
            <w:tcBorders>
              <w:top w:val="nil"/>
              <w:left w:val="nil"/>
              <w:bottom w:val="single" w:color="auto" w:sz="4" w:space="0"/>
              <w:right w:val="single" w:color="auto" w:sz="4" w:space="0"/>
            </w:tcBorders>
            <w:vAlign w:val="center"/>
          </w:tcPr>
          <w:p w14:paraId="6FA0E16A">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0F4C2F6E">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33A65996">
            <w:pPr>
              <w:widowControl/>
              <w:wordWrap w:val="0"/>
              <w:jc w:val="left"/>
              <w:rPr>
                <w:rFonts w:ascii="宋体" w:hAnsi="宋体" w:cs="宋体"/>
                <w:kern w:val="0"/>
                <w:szCs w:val="21"/>
              </w:rPr>
            </w:pPr>
            <w:r>
              <w:rPr>
                <w:rFonts w:hint="eastAsia" w:ascii="宋体" w:hAnsi="宋体" w:cs="宋体"/>
                <w:kern w:val="0"/>
                <w:szCs w:val="21"/>
              </w:rPr>
              <w:t>20≤X＜200</w:t>
            </w:r>
          </w:p>
        </w:tc>
        <w:tc>
          <w:tcPr>
            <w:tcW w:w="1720" w:type="dxa"/>
            <w:tcBorders>
              <w:top w:val="nil"/>
              <w:left w:val="nil"/>
              <w:bottom w:val="single" w:color="auto" w:sz="4" w:space="0"/>
              <w:right w:val="single" w:color="auto" w:sz="4" w:space="0"/>
            </w:tcBorders>
            <w:vAlign w:val="center"/>
          </w:tcPr>
          <w:p w14:paraId="475F6680">
            <w:pPr>
              <w:widowControl/>
              <w:wordWrap w:val="0"/>
              <w:jc w:val="left"/>
              <w:rPr>
                <w:rFonts w:ascii="宋体" w:hAnsi="宋体" w:cs="宋体"/>
                <w:kern w:val="0"/>
                <w:szCs w:val="21"/>
              </w:rPr>
            </w:pPr>
            <w:r>
              <w:rPr>
                <w:rFonts w:hint="eastAsia" w:ascii="宋体" w:hAnsi="宋体" w:cs="宋体"/>
                <w:kern w:val="0"/>
                <w:szCs w:val="21"/>
              </w:rPr>
              <w:t>5≤X＜20</w:t>
            </w:r>
          </w:p>
        </w:tc>
        <w:tc>
          <w:tcPr>
            <w:tcW w:w="1105" w:type="dxa"/>
            <w:tcBorders>
              <w:top w:val="nil"/>
              <w:left w:val="nil"/>
              <w:bottom w:val="single" w:color="auto" w:sz="4" w:space="0"/>
              <w:right w:val="single" w:color="auto" w:sz="4" w:space="0"/>
            </w:tcBorders>
            <w:vAlign w:val="center"/>
          </w:tcPr>
          <w:p w14:paraId="01B1D602">
            <w:pPr>
              <w:widowControl/>
              <w:wordWrap w:val="0"/>
              <w:jc w:val="left"/>
              <w:rPr>
                <w:rFonts w:ascii="宋体" w:hAnsi="宋体" w:cs="宋体"/>
                <w:kern w:val="0"/>
                <w:szCs w:val="21"/>
              </w:rPr>
            </w:pPr>
            <w:r>
              <w:rPr>
                <w:rFonts w:hint="eastAsia" w:ascii="宋体" w:hAnsi="宋体" w:cs="宋体"/>
                <w:kern w:val="0"/>
                <w:szCs w:val="21"/>
              </w:rPr>
              <w:t>X＜5</w:t>
            </w:r>
          </w:p>
        </w:tc>
      </w:tr>
      <w:tr w14:paraId="769354F7">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02B1C171">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18874194">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40182E17">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1A80908E">
            <w:pPr>
              <w:widowControl/>
              <w:wordWrap w:val="0"/>
              <w:jc w:val="left"/>
              <w:rPr>
                <w:rFonts w:ascii="宋体" w:hAnsi="宋体" w:cs="宋体"/>
                <w:kern w:val="0"/>
                <w:szCs w:val="21"/>
              </w:rPr>
            </w:pPr>
            <w:r>
              <w:rPr>
                <w:rFonts w:hint="eastAsia" w:ascii="宋体" w:hAnsi="宋体" w:cs="宋体"/>
                <w:kern w:val="0"/>
                <w:szCs w:val="21"/>
              </w:rPr>
              <w:t>5000≤Y＜40000</w:t>
            </w:r>
          </w:p>
        </w:tc>
        <w:tc>
          <w:tcPr>
            <w:tcW w:w="1720" w:type="dxa"/>
            <w:tcBorders>
              <w:top w:val="nil"/>
              <w:left w:val="nil"/>
              <w:bottom w:val="single" w:color="auto" w:sz="4" w:space="0"/>
              <w:right w:val="single" w:color="auto" w:sz="4" w:space="0"/>
            </w:tcBorders>
            <w:vAlign w:val="center"/>
          </w:tcPr>
          <w:p w14:paraId="65D8D532">
            <w:pPr>
              <w:widowControl/>
              <w:wordWrap w:val="0"/>
              <w:jc w:val="left"/>
              <w:rPr>
                <w:rFonts w:ascii="宋体" w:hAnsi="宋体" w:cs="宋体"/>
                <w:kern w:val="0"/>
                <w:szCs w:val="21"/>
              </w:rPr>
            </w:pPr>
            <w:r>
              <w:rPr>
                <w:rFonts w:hint="eastAsia" w:ascii="宋体" w:hAnsi="宋体" w:cs="宋体"/>
                <w:kern w:val="0"/>
                <w:szCs w:val="21"/>
              </w:rPr>
              <w:t>1000≤Y＜5000</w:t>
            </w:r>
          </w:p>
        </w:tc>
        <w:tc>
          <w:tcPr>
            <w:tcW w:w="1105" w:type="dxa"/>
            <w:tcBorders>
              <w:top w:val="nil"/>
              <w:left w:val="nil"/>
              <w:bottom w:val="single" w:color="auto" w:sz="4" w:space="0"/>
              <w:right w:val="single" w:color="auto" w:sz="4" w:space="0"/>
            </w:tcBorders>
            <w:vAlign w:val="center"/>
          </w:tcPr>
          <w:p w14:paraId="4FBEF614">
            <w:pPr>
              <w:widowControl/>
              <w:wordWrap w:val="0"/>
              <w:jc w:val="left"/>
              <w:rPr>
                <w:rFonts w:ascii="宋体" w:hAnsi="宋体" w:cs="宋体"/>
                <w:kern w:val="0"/>
                <w:szCs w:val="21"/>
              </w:rPr>
            </w:pPr>
            <w:r>
              <w:rPr>
                <w:rFonts w:hint="eastAsia" w:ascii="宋体" w:hAnsi="宋体" w:cs="宋体"/>
                <w:kern w:val="0"/>
                <w:szCs w:val="21"/>
              </w:rPr>
              <w:t>Y＜1000</w:t>
            </w:r>
          </w:p>
        </w:tc>
      </w:tr>
      <w:tr w14:paraId="57FB3ABE">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01E2ECF5">
            <w:pPr>
              <w:widowControl/>
              <w:wordWrap w:val="0"/>
              <w:jc w:val="center"/>
              <w:rPr>
                <w:rFonts w:ascii="宋体" w:hAnsi="宋体" w:cs="宋体"/>
                <w:b/>
                <w:bCs/>
                <w:kern w:val="0"/>
                <w:szCs w:val="21"/>
              </w:rPr>
            </w:pPr>
            <w:r>
              <w:rPr>
                <w:rFonts w:hint="eastAsia" w:ascii="宋体" w:hAnsi="宋体" w:cs="宋体"/>
                <w:b/>
                <w:bCs/>
                <w:kern w:val="0"/>
                <w:szCs w:val="21"/>
              </w:rPr>
              <w:t>零售业</w:t>
            </w:r>
          </w:p>
        </w:tc>
        <w:tc>
          <w:tcPr>
            <w:tcW w:w="1653" w:type="dxa"/>
            <w:tcBorders>
              <w:top w:val="nil"/>
              <w:left w:val="nil"/>
              <w:bottom w:val="single" w:color="auto" w:sz="4" w:space="0"/>
              <w:right w:val="single" w:color="auto" w:sz="4" w:space="0"/>
            </w:tcBorders>
            <w:vAlign w:val="center"/>
          </w:tcPr>
          <w:p w14:paraId="46F9B5A5">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6CA65E0A">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0B2F734A">
            <w:pPr>
              <w:widowControl/>
              <w:wordWrap w:val="0"/>
              <w:jc w:val="left"/>
              <w:rPr>
                <w:rFonts w:ascii="宋体" w:hAnsi="宋体" w:cs="宋体"/>
                <w:kern w:val="0"/>
                <w:szCs w:val="21"/>
              </w:rPr>
            </w:pPr>
            <w:r>
              <w:rPr>
                <w:rFonts w:hint="eastAsia" w:ascii="宋体" w:hAnsi="宋体" w:cs="宋体"/>
                <w:kern w:val="0"/>
                <w:szCs w:val="21"/>
              </w:rPr>
              <w:t>50≤X＜300</w:t>
            </w:r>
          </w:p>
        </w:tc>
        <w:tc>
          <w:tcPr>
            <w:tcW w:w="1720" w:type="dxa"/>
            <w:tcBorders>
              <w:top w:val="nil"/>
              <w:left w:val="nil"/>
              <w:bottom w:val="single" w:color="auto" w:sz="4" w:space="0"/>
              <w:right w:val="single" w:color="auto" w:sz="4" w:space="0"/>
            </w:tcBorders>
            <w:vAlign w:val="center"/>
          </w:tcPr>
          <w:p w14:paraId="790CB7EF">
            <w:pPr>
              <w:widowControl/>
              <w:wordWrap w:val="0"/>
              <w:jc w:val="left"/>
              <w:rPr>
                <w:rFonts w:ascii="宋体" w:hAnsi="宋体" w:cs="宋体"/>
                <w:kern w:val="0"/>
                <w:szCs w:val="21"/>
              </w:rPr>
            </w:pPr>
            <w:r>
              <w:rPr>
                <w:rFonts w:hint="eastAsia" w:ascii="宋体" w:hAnsi="宋体" w:cs="宋体"/>
                <w:kern w:val="0"/>
                <w:szCs w:val="21"/>
              </w:rPr>
              <w:t>10≤X＜50</w:t>
            </w:r>
          </w:p>
        </w:tc>
        <w:tc>
          <w:tcPr>
            <w:tcW w:w="1105" w:type="dxa"/>
            <w:tcBorders>
              <w:top w:val="nil"/>
              <w:left w:val="nil"/>
              <w:bottom w:val="single" w:color="auto" w:sz="4" w:space="0"/>
              <w:right w:val="single" w:color="auto" w:sz="4" w:space="0"/>
            </w:tcBorders>
            <w:vAlign w:val="center"/>
          </w:tcPr>
          <w:p w14:paraId="66DF8D73">
            <w:pPr>
              <w:widowControl/>
              <w:wordWrap w:val="0"/>
              <w:jc w:val="left"/>
              <w:rPr>
                <w:rFonts w:ascii="宋体" w:hAnsi="宋体" w:cs="宋体"/>
                <w:kern w:val="0"/>
                <w:szCs w:val="21"/>
              </w:rPr>
            </w:pPr>
            <w:r>
              <w:rPr>
                <w:rFonts w:hint="eastAsia" w:ascii="宋体" w:hAnsi="宋体" w:cs="宋体"/>
                <w:kern w:val="0"/>
                <w:szCs w:val="21"/>
              </w:rPr>
              <w:t>X＜10</w:t>
            </w:r>
          </w:p>
        </w:tc>
      </w:tr>
      <w:tr w14:paraId="186AAA2D">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11132D51">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2BF03C52">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2ACECC8B">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4D2687A9">
            <w:pPr>
              <w:widowControl/>
              <w:wordWrap w:val="0"/>
              <w:jc w:val="left"/>
              <w:rPr>
                <w:rFonts w:ascii="宋体" w:hAnsi="宋体" w:cs="宋体"/>
                <w:kern w:val="0"/>
                <w:szCs w:val="21"/>
              </w:rPr>
            </w:pPr>
            <w:r>
              <w:rPr>
                <w:rFonts w:hint="eastAsia" w:ascii="宋体" w:hAnsi="宋体" w:cs="宋体"/>
                <w:kern w:val="0"/>
                <w:szCs w:val="21"/>
              </w:rPr>
              <w:t>500≤Y＜20000</w:t>
            </w:r>
          </w:p>
        </w:tc>
        <w:tc>
          <w:tcPr>
            <w:tcW w:w="1720" w:type="dxa"/>
            <w:tcBorders>
              <w:top w:val="nil"/>
              <w:left w:val="nil"/>
              <w:bottom w:val="single" w:color="auto" w:sz="4" w:space="0"/>
              <w:right w:val="single" w:color="auto" w:sz="4" w:space="0"/>
            </w:tcBorders>
            <w:vAlign w:val="center"/>
          </w:tcPr>
          <w:p w14:paraId="7AA0CC9E">
            <w:pPr>
              <w:widowControl/>
              <w:wordWrap w:val="0"/>
              <w:jc w:val="left"/>
              <w:rPr>
                <w:rFonts w:ascii="宋体" w:hAnsi="宋体" w:cs="宋体"/>
                <w:kern w:val="0"/>
                <w:szCs w:val="21"/>
              </w:rPr>
            </w:pPr>
            <w:r>
              <w:rPr>
                <w:rFonts w:hint="eastAsia" w:ascii="宋体" w:hAnsi="宋体" w:cs="宋体"/>
                <w:kern w:val="0"/>
                <w:szCs w:val="21"/>
              </w:rPr>
              <w:t>100≤Y＜500</w:t>
            </w:r>
          </w:p>
        </w:tc>
        <w:tc>
          <w:tcPr>
            <w:tcW w:w="1105" w:type="dxa"/>
            <w:tcBorders>
              <w:top w:val="nil"/>
              <w:left w:val="nil"/>
              <w:bottom w:val="single" w:color="auto" w:sz="4" w:space="0"/>
              <w:right w:val="single" w:color="auto" w:sz="4" w:space="0"/>
            </w:tcBorders>
            <w:vAlign w:val="center"/>
          </w:tcPr>
          <w:p w14:paraId="23AF8B12">
            <w:pPr>
              <w:widowControl/>
              <w:wordWrap w:val="0"/>
              <w:jc w:val="left"/>
              <w:rPr>
                <w:rFonts w:ascii="宋体" w:hAnsi="宋体" w:cs="宋体"/>
                <w:kern w:val="0"/>
                <w:szCs w:val="21"/>
              </w:rPr>
            </w:pPr>
            <w:r>
              <w:rPr>
                <w:rFonts w:hint="eastAsia" w:ascii="宋体" w:hAnsi="宋体" w:cs="宋体"/>
                <w:kern w:val="0"/>
                <w:szCs w:val="21"/>
              </w:rPr>
              <w:t>Y＜100</w:t>
            </w:r>
          </w:p>
        </w:tc>
      </w:tr>
      <w:tr w14:paraId="7FBBA07A">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04B42ACC">
            <w:pPr>
              <w:widowControl/>
              <w:wordWrap w:val="0"/>
              <w:jc w:val="center"/>
              <w:rPr>
                <w:rFonts w:ascii="宋体" w:hAnsi="宋体" w:cs="宋体"/>
                <w:b/>
                <w:bCs/>
                <w:kern w:val="0"/>
                <w:szCs w:val="21"/>
              </w:rPr>
            </w:pPr>
            <w:r>
              <w:rPr>
                <w:rFonts w:hint="eastAsia" w:ascii="宋体" w:hAnsi="宋体" w:cs="宋体"/>
                <w:b/>
                <w:bCs/>
                <w:kern w:val="0"/>
                <w:szCs w:val="21"/>
              </w:rPr>
              <w:t>交通运输业</w:t>
            </w:r>
          </w:p>
        </w:tc>
        <w:tc>
          <w:tcPr>
            <w:tcW w:w="1653" w:type="dxa"/>
            <w:tcBorders>
              <w:top w:val="nil"/>
              <w:left w:val="nil"/>
              <w:bottom w:val="single" w:color="auto" w:sz="4" w:space="0"/>
              <w:right w:val="single" w:color="auto" w:sz="4" w:space="0"/>
            </w:tcBorders>
            <w:vAlign w:val="center"/>
          </w:tcPr>
          <w:p w14:paraId="1B43B059">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480F2EEC">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66D913AB">
            <w:pPr>
              <w:widowControl/>
              <w:wordWrap w:val="0"/>
              <w:jc w:val="left"/>
              <w:rPr>
                <w:rFonts w:ascii="宋体" w:hAnsi="宋体" w:cs="宋体"/>
                <w:kern w:val="0"/>
                <w:szCs w:val="21"/>
              </w:rPr>
            </w:pPr>
            <w:r>
              <w:rPr>
                <w:rFonts w:hint="eastAsia" w:ascii="宋体" w:hAnsi="宋体" w:cs="宋体"/>
                <w:kern w:val="0"/>
                <w:szCs w:val="21"/>
              </w:rPr>
              <w:t>300≤X＜1000</w:t>
            </w:r>
          </w:p>
        </w:tc>
        <w:tc>
          <w:tcPr>
            <w:tcW w:w="1720" w:type="dxa"/>
            <w:tcBorders>
              <w:top w:val="nil"/>
              <w:left w:val="nil"/>
              <w:bottom w:val="single" w:color="auto" w:sz="4" w:space="0"/>
              <w:right w:val="single" w:color="auto" w:sz="4" w:space="0"/>
            </w:tcBorders>
            <w:vAlign w:val="center"/>
          </w:tcPr>
          <w:p w14:paraId="0770D9AD">
            <w:pPr>
              <w:widowControl/>
              <w:wordWrap w:val="0"/>
              <w:jc w:val="left"/>
              <w:rPr>
                <w:rFonts w:ascii="宋体" w:hAnsi="宋体" w:cs="宋体"/>
                <w:kern w:val="0"/>
                <w:szCs w:val="21"/>
              </w:rPr>
            </w:pPr>
            <w:r>
              <w:rPr>
                <w:rFonts w:hint="eastAsia" w:ascii="宋体" w:hAnsi="宋体" w:cs="宋体"/>
                <w:kern w:val="0"/>
                <w:szCs w:val="21"/>
              </w:rPr>
              <w:t>20≤X＜300</w:t>
            </w:r>
          </w:p>
        </w:tc>
        <w:tc>
          <w:tcPr>
            <w:tcW w:w="1105" w:type="dxa"/>
            <w:tcBorders>
              <w:top w:val="nil"/>
              <w:left w:val="nil"/>
              <w:bottom w:val="single" w:color="auto" w:sz="4" w:space="0"/>
              <w:right w:val="single" w:color="auto" w:sz="4" w:space="0"/>
            </w:tcBorders>
            <w:vAlign w:val="center"/>
          </w:tcPr>
          <w:p w14:paraId="30ED844B">
            <w:pPr>
              <w:widowControl/>
              <w:wordWrap w:val="0"/>
              <w:jc w:val="left"/>
              <w:rPr>
                <w:rFonts w:ascii="宋体" w:hAnsi="宋体" w:cs="宋体"/>
                <w:kern w:val="0"/>
                <w:szCs w:val="21"/>
              </w:rPr>
            </w:pPr>
            <w:r>
              <w:rPr>
                <w:rFonts w:hint="eastAsia" w:ascii="宋体" w:hAnsi="宋体" w:cs="宋体"/>
                <w:kern w:val="0"/>
                <w:szCs w:val="21"/>
              </w:rPr>
              <w:t>X＜20</w:t>
            </w:r>
          </w:p>
        </w:tc>
      </w:tr>
      <w:tr w14:paraId="7E4E6187">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0561D78E">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38B736A7">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3CCF36E0">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71951FC1">
            <w:pPr>
              <w:widowControl/>
              <w:wordWrap w:val="0"/>
              <w:jc w:val="left"/>
              <w:rPr>
                <w:rFonts w:ascii="宋体" w:hAnsi="宋体" w:cs="宋体"/>
                <w:kern w:val="0"/>
                <w:szCs w:val="21"/>
              </w:rPr>
            </w:pPr>
            <w:r>
              <w:rPr>
                <w:rFonts w:hint="eastAsia" w:ascii="宋体" w:hAnsi="宋体" w:cs="宋体"/>
                <w:kern w:val="0"/>
                <w:szCs w:val="21"/>
              </w:rPr>
              <w:t>3000≤Y＜30000</w:t>
            </w:r>
          </w:p>
        </w:tc>
        <w:tc>
          <w:tcPr>
            <w:tcW w:w="1720" w:type="dxa"/>
            <w:tcBorders>
              <w:top w:val="nil"/>
              <w:left w:val="nil"/>
              <w:bottom w:val="single" w:color="auto" w:sz="4" w:space="0"/>
              <w:right w:val="single" w:color="auto" w:sz="4" w:space="0"/>
            </w:tcBorders>
            <w:vAlign w:val="center"/>
          </w:tcPr>
          <w:p w14:paraId="4BFAD8BD">
            <w:pPr>
              <w:widowControl/>
              <w:wordWrap w:val="0"/>
              <w:jc w:val="left"/>
              <w:rPr>
                <w:rFonts w:ascii="宋体" w:hAnsi="宋体" w:cs="宋体"/>
                <w:kern w:val="0"/>
                <w:szCs w:val="21"/>
              </w:rPr>
            </w:pPr>
            <w:r>
              <w:rPr>
                <w:rFonts w:hint="eastAsia" w:ascii="宋体" w:hAnsi="宋体" w:cs="宋体"/>
                <w:kern w:val="0"/>
                <w:szCs w:val="21"/>
              </w:rPr>
              <w:t>200≤Y＜3000</w:t>
            </w:r>
          </w:p>
        </w:tc>
        <w:tc>
          <w:tcPr>
            <w:tcW w:w="1105" w:type="dxa"/>
            <w:tcBorders>
              <w:top w:val="nil"/>
              <w:left w:val="nil"/>
              <w:bottom w:val="single" w:color="auto" w:sz="4" w:space="0"/>
              <w:right w:val="single" w:color="auto" w:sz="4" w:space="0"/>
            </w:tcBorders>
            <w:vAlign w:val="center"/>
          </w:tcPr>
          <w:p w14:paraId="1B263AD0">
            <w:pPr>
              <w:widowControl/>
              <w:wordWrap w:val="0"/>
              <w:jc w:val="left"/>
              <w:rPr>
                <w:rFonts w:ascii="宋体" w:hAnsi="宋体" w:cs="宋体"/>
                <w:kern w:val="0"/>
                <w:szCs w:val="21"/>
              </w:rPr>
            </w:pPr>
            <w:r>
              <w:rPr>
                <w:rFonts w:hint="eastAsia" w:ascii="宋体" w:hAnsi="宋体" w:cs="宋体"/>
                <w:kern w:val="0"/>
                <w:szCs w:val="21"/>
              </w:rPr>
              <w:t>Y＜200</w:t>
            </w:r>
          </w:p>
        </w:tc>
      </w:tr>
      <w:tr w14:paraId="7E9C6ABC">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39B059E9">
            <w:pPr>
              <w:widowControl/>
              <w:wordWrap w:val="0"/>
              <w:jc w:val="center"/>
              <w:rPr>
                <w:rFonts w:ascii="宋体" w:hAnsi="宋体" w:cs="宋体"/>
                <w:b/>
                <w:bCs/>
                <w:kern w:val="0"/>
                <w:szCs w:val="21"/>
              </w:rPr>
            </w:pPr>
            <w:r>
              <w:rPr>
                <w:rFonts w:hint="eastAsia" w:ascii="宋体" w:hAnsi="宋体" w:cs="宋体"/>
                <w:b/>
                <w:bCs/>
                <w:kern w:val="0"/>
                <w:szCs w:val="21"/>
              </w:rPr>
              <w:t>仓储业</w:t>
            </w:r>
          </w:p>
        </w:tc>
        <w:tc>
          <w:tcPr>
            <w:tcW w:w="1653" w:type="dxa"/>
            <w:tcBorders>
              <w:top w:val="nil"/>
              <w:left w:val="nil"/>
              <w:bottom w:val="single" w:color="auto" w:sz="4" w:space="0"/>
              <w:right w:val="single" w:color="auto" w:sz="4" w:space="0"/>
            </w:tcBorders>
            <w:vAlign w:val="center"/>
          </w:tcPr>
          <w:p w14:paraId="112D9A72">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6B447CA0">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0C9F0161">
            <w:pPr>
              <w:widowControl/>
              <w:wordWrap w:val="0"/>
              <w:jc w:val="left"/>
              <w:rPr>
                <w:rFonts w:ascii="宋体" w:hAnsi="宋体" w:cs="宋体"/>
                <w:kern w:val="0"/>
                <w:szCs w:val="21"/>
              </w:rPr>
            </w:pPr>
            <w:r>
              <w:rPr>
                <w:rFonts w:hint="eastAsia" w:ascii="宋体" w:hAnsi="宋体" w:cs="宋体"/>
                <w:kern w:val="0"/>
                <w:szCs w:val="21"/>
              </w:rPr>
              <w:t>100≤X＜200</w:t>
            </w:r>
          </w:p>
        </w:tc>
        <w:tc>
          <w:tcPr>
            <w:tcW w:w="1720" w:type="dxa"/>
            <w:tcBorders>
              <w:top w:val="nil"/>
              <w:left w:val="nil"/>
              <w:bottom w:val="single" w:color="auto" w:sz="4" w:space="0"/>
              <w:right w:val="single" w:color="auto" w:sz="4" w:space="0"/>
            </w:tcBorders>
            <w:vAlign w:val="center"/>
          </w:tcPr>
          <w:p w14:paraId="5F956867">
            <w:pPr>
              <w:widowControl/>
              <w:wordWrap w:val="0"/>
              <w:jc w:val="left"/>
              <w:rPr>
                <w:rFonts w:ascii="宋体" w:hAnsi="宋体" w:cs="宋体"/>
                <w:kern w:val="0"/>
                <w:szCs w:val="21"/>
              </w:rPr>
            </w:pPr>
            <w:r>
              <w:rPr>
                <w:rFonts w:hint="eastAsia" w:ascii="宋体" w:hAnsi="宋体" w:cs="宋体"/>
                <w:kern w:val="0"/>
                <w:szCs w:val="21"/>
              </w:rPr>
              <w:t>20≤X＜100</w:t>
            </w:r>
          </w:p>
        </w:tc>
        <w:tc>
          <w:tcPr>
            <w:tcW w:w="1105" w:type="dxa"/>
            <w:tcBorders>
              <w:top w:val="nil"/>
              <w:left w:val="nil"/>
              <w:bottom w:val="single" w:color="auto" w:sz="4" w:space="0"/>
              <w:right w:val="single" w:color="auto" w:sz="4" w:space="0"/>
            </w:tcBorders>
            <w:vAlign w:val="center"/>
          </w:tcPr>
          <w:p w14:paraId="005AEB35">
            <w:pPr>
              <w:widowControl/>
              <w:wordWrap w:val="0"/>
              <w:jc w:val="left"/>
              <w:rPr>
                <w:rFonts w:ascii="宋体" w:hAnsi="宋体" w:cs="宋体"/>
                <w:kern w:val="0"/>
                <w:szCs w:val="21"/>
              </w:rPr>
            </w:pPr>
            <w:r>
              <w:rPr>
                <w:rFonts w:hint="eastAsia" w:ascii="宋体" w:hAnsi="宋体" w:cs="宋体"/>
                <w:kern w:val="0"/>
                <w:szCs w:val="21"/>
              </w:rPr>
              <w:t>X＜20</w:t>
            </w:r>
          </w:p>
        </w:tc>
      </w:tr>
      <w:tr w14:paraId="65780D85">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33EC1F20">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1CA97711">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6FC002CE">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0F515BE5">
            <w:pPr>
              <w:widowControl/>
              <w:wordWrap w:val="0"/>
              <w:jc w:val="left"/>
              <w:rPr>
                <w:rFonts w:ascii="宋体" w:hAnsi="宋体" w:cs="宋体"/>
                <w:kern w:val="0"/>
                <w:szCs w:val="21"/>
              </w:rPr>
            </w:pPr>
            <w:r>
              <w:rPr>
                <w:rFonts w:hint="eastAsia" w:ascii="宋体" w:hAnsi="宋体" w:cs="宋体"/>
                <w:kern w:val="0"/>
                <w:szCs w:val="21"/>
              </w:rPr>
              <w:t>1000≤Y＜30000</w:t>
            </w:r>
          </w:p>
        </w:tc>
        <w:tc>
          <w:tcPr>
            <w:tcW w:w="1720" w:type="dxa"/>
            <w:tcBorders>
              <w:top w:val="nil"/>
              <w:left w:val="nil"/>
              <w:bottom w:val="single" w:color="auto" w:sz="4" w:space="0"/>
              <w:right w:val="single" w:color="auto" w:sz="4" w:space="0"/>
            </w:tcBorders>
            <w:vAlign w:val="center"/>
          </w:tcPr>
          <w:p w14:paraId="61B7DD28">
            <w:pPr>
              <w:widowControl/>
              <w:wordWrap w:val="0"/>
              <w:jc w:val="left"/>
              <w:rPr>
                <w:rFonts w:ascii="宋体" w:hAnsi="宋体" w:cs="宋体"/>
                <w:kern w:val="0"/>
                <w:szCs w:val="21"/>
              </w:rPr>
            </w:pPr>
            <w:r>
              <w:rPr>
                <w:rFonts w:hint="eastAsia" w:ascii="宋体" w:hAnsi="宋体" w:cs="宋体"/>
                <w:kern w:val="0"/>
                <w:szCs w:val="21"/>
              </w:rPr>
              <w:t>100≤Y＜1000</w:t>
            </w:r>
          </w:p>
        </w:tc>
        <w:tc>
          <w:tcPr>
            <w:tcW w:w="1105" w:type="dxa"/>
            <w:tcBorders>
              <w:top w:val="nil"/>
              <w:left w:val="nil"/>
              <w:bottom w:val="single" w:color="auto" w:sz="4" w:space="0"/>
              <w:right w:val="single" w:color="auto" w:sz="4" w:space="0"/>
            </w:tcBorders>
            <w:vAlign w:val="center"/>
          </w:tcPr>
          <w:p w14:paraId="7E1403AA">
            <w:pPr>
              <w:widowControl/>
              <w:wordWrap w:val="0"/>
              <w:jc w:val="left"/>
              <w:rPr>
                <w:rFonts w:ascii="宋体" w:hAnsi="宋体" w:cs="宋体"/>
                <w:kern w:val="0"/>
                <w:szCs w:val="21"/>
              </w:rPr>
            </w:pPr>
            <w:r>
              <w:rPr>
                <w:rFonts w:hint="eastAsia" w:ascii="宋体" w:hAnsi="宋体" w:cs="宋体"/>
                <w:kern w:val="0"/>
                <w:szCs w:val="21"/>
              </w:rPr>
              <w:t>Y＜100</w:t>
            </w:r>
          </w:p>
        </w:tc>
      </w:tr>
      <w:tr w14:paraId="1084A4C8">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46C1DBA5">
            <w:pPr>
              <w:widowControl/>
              <w:wordWrap w:val="0"/>
              <w:jc w:val="center"/>
              <w:rPr>
                <w:rFonts w:ascii="宋体" w:hAnsi="宋体" w:cs="宋体"/>
                <w:b/>
                <w:bCs/>
                <w:kern w:val="0"/>
                <w:szCs w:val="21"/>
              </w:rPr>
            </w:pPr>
            <w:r>
              <w:rPr>
                <w:rFonts w:hint="eastAsia" w:ascii="宋体" w:hAnsi="宋体" w:cs="宋体"/>
                <w:b/>
                <w:bCs/>
                <w:kern w:val="0"/>
                <w:szCs w:val="21"/>
              </w:rPr>
              <w:t>邮政业</w:t>
            </w:r>
          </w:p>
        </w:tc>
        <w:tc>
          <w:tcPr>
            <w:tcW w:w="1653" w:type="dxa"/>
            <w:tcBorders>
              <w:top w:val="nil"/>
              <w:left w:val="nil"/>
              <w:bottom w:val="single" w:color="auto" w:sz="4" w:space="0"/>
              <w:right w:val="single" w:color="auto" w:sz="4" w:space="0"/>
            </w:tcBorders>
            <w:vAlign w:val="center"/>
          </w:tcPr>
          <w:p w14:paraId="25AD7F76">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5500B8E5">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161FF13B">
            <w:pPr>
              <w:widowControl/>
              <w:wordWrap w:val="0"/>
              <w:jc w:val="left"/>
              <w:rPr>
                <w:rFonts w:ascii="宋体" w:hAnsi="宋体" w:cs="宋体"/>
                <w:kern w:val="0"/>
                <w:szCs w:val="21"/>
              </w:rPr>
            </w:pPr>
            <w:r>
              <w:rPr>
                <w:rFonts w:hint="eastAsia" w:ascii="宋体" w:hAnsi="宋体" w:cs="宋体"/>
                <w:kern w:val="0"/>
                <w:szCs w:val="21"/>
              </w:rPr>
              <w:t>300≤X＜1000</w:t>
            </w:r>
          </w:p>
        </w:tc>
        <w:tc>
          <w:tcPr>
            <w:tcW w:w="1720" w:type="dxa"/>
            <w:tcBorders>
              <w:top w:val="nil"/>
              <w:left w:val="nil"/>
              <w:bottom w:val="single" w:color="auto" w:sz="4" w:space="0"/>
              <w:right w:val="single" w:color="auto" w:sz="4" w:space="0"/>
            </w:tcBorders>
            <w:vAlign w:val="center"/>
          </w:tcPr>
          <w:p w14:paraId="7BB2FCC4">
            <w:pPr>
              <w:widowControl/>
              <w:wordWrap w:val="0"/>
              <w:jc w:val="left"/>
              <w:rPr>
                <w:rFonts w:ascii="宋体" w:hAnsi="宋体" w:cs="宋体"/>
                <w:kern w:val="0"/>
                <w:szCs w:val="21"/>
              </w:rPr>
            </w:pPr>
            <w:r>
              <w:rPr>
                <w:rFonts w:hint="eastAsia" w:ascii="宋体" w:hAnsi="宋体" w:cs="宋体"/>
                <w:kern w:val="0"/>
                <w:szCs w:val="21"/>
              </w:rPr>
              <w:t>20≤X＜300</w:t>
            </w:r>
          </w:p>
        </w:tc>
        <w:tc>
          <w:tcPr>
            <w:tcW w:w="1105" w:type="dxa"/>
            <w:tcBorders>
              <w:top w:val="nil"/>
              <w:left w:val="nil"/>
              <w:bottom w:val="single" w:color="auto" w:sz="4" w:space="0"/>
              <w:right w:val="single" w:color="auto" w:sz="4" w:space="0"/>
            </w:tcBorders>
            <w:vAlign w:val="center"/>
          </w:tcPr>
          <w:p w14:paraId="17C3A4A2">
            <w:pPr>
              <w:widowControl/>
              <w:wordWrap w:val="0"/>
              <w:jc w:val="left"/>
              <w:rPr>
                <w:rFonts w:ascii="宋体" w:hAnsi="宋体" w:cs="宋体"/>
                <w:kern w:val="0"/>
                <w:szCs w:val="21"/>
              </w:rPr>
            </w:pPr>
            <w:r>
              <w:rPr>
                <w:rFonts w:hint="eastAsia" w:ascii="宋体" w:hAnsi="宋体" w:cs="宋体"/>
                <w:kern w:val="0"/>
                <w:szCs w:val="21"/>
              </w:rPr>
              <w:t>X＜20</w:t>
            </w:r>
          </w:p>
        </w:tc>
      </w:tr>
      <w:tr w14:paraId="37DAA70D">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0903197E">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0BBFB7BA">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33372CBD">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6B1FE7F9">
            <w:pPr>
              <w:widowControl/>
              <w:wordWrap w:val="0"/>
              <w:jc w:val="left"/>
              <w:rPr>
                <w:rFonts w:ascii="宋体" w:hAnsi="宋体" w:cs="宋体"/>
                <w:kern w:val="0"/>
                <w:szCs w:val="21"/>
              </w:rPr>
            </w:pPr>
            <w:r>
              <w:rPr>
                <w:rFonts w:hint="eastAsia" w:ascii="宋体" w:hAnsi="宋体" w:cs="宋体"/>
                <w:kern w:val="0"/>
                <w:szCs w:val="21"/>
              </w:rPr>
              <w:t>2000≤Y＜30000</w:t>
            </w:r>
          </w:p>
        </w:tc>
        <w:tc>
          <w:tcPr>
            <w:tcW w:w="1720" w:type="dxa"/>
            <w:tcBorders>
              <w:top w:val="nil"/>
              <w:left w:val="nil"/>
              <w:bottom w:val="single" w:color="auto" w:sz="4" w:space="0"/>
              <w:right w:val="single" w:color="auto" w:sz="4" w:space="0"/>
            </w:tcBorders>
            <w:vAlign w:val="center"/>
          </w:tcPr>
          <w:p w14:paraId="6C7298AF">
            <w:pPr>
              <w:widowControl/>
              <w:wordWrap w:val="0"/>
              <w:jc w:val="left"/>
              <w:rPr>
                <w:rFonts w:ascii="宋体" w:hAnsi="宋体" w:cs="宋体"/>
                <w:kern w:val="0"/>
                <w:szCs w:val="21"/>
              </w:rPr>
            </w:pPr>
            <w:r>
              <w:rPr>
                <w:rFonts w:hint="eastAsia" w:ascii="宋体" w:hAnsi="宋体" w:cs="宋体"/>
                <w:kern w:val="0"/>
                <w:szCs w:val="21"/>
              </w:rPr>
              <w:t>100≤Y＜2000</w:t>
            </w:r>
          </w:p>
        </w:tc>
        <w:tc>
          <w:tcPr>
            <w:tcW w:w="1105" w:type="dxa"/>
            <w:tcBorders>
              <w:top w:val="nil"/>
              <w:left w:val="nil"/>
              <w:bottom w:val="single" w:color="auto" w:sz="4" w:space="0"/>
              <w:right w:val="single" w:color="auto" w:sz="4" w:space="0"/>
            </w:tcBorders>
            <w:vAlign w:val="center"/>
          </w:tcPr>
          <w:p w14:paraId="7783559D">
            <w:pPr>
              <w:widowControl/>
              <w:wordWrap w:val="0"/>
              <w:jc w:val="left"/>
              <w:rPr>
                <w:rFonts w:ascii="宋体" w:hAnsi="宋体" w:cs="宋体"/>
                <w:kern w:val="0"/>
                <w:szCs w:val="21"/>
              </w:rPr>
            </w:pPr>
            <w:r>
              <w:rPr>
                <w:rFonts w:hint="eastAsia" w:ascii="宋体" w:hAnsi="宋体" w:cs="宋体"/>
                <w:kern w:val="0"/>
                <w:szCs w:val="21"/>
              </w:rPr>
              <w:t>Y＜100</w:t>
            </w:r>
          </w:p>
        </w:tc>
      </w:tr>
      <w:tr w14:paraId="34152409">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2533C2F8">
            <w:pPr>
              <w:widowControl/>
              <w:wordWrap w:val="0"/>
              <w:jc w:val="center"/>
              <w:rPr>
                <w:rFonts w:ascii="宋体" w:hAnsi="宋体" w:cs="宋体"/>
                <w:b/>
                <w:bCs/>
                <w:kern w:val="0"/>
                <w:szCs w:val="21"/>
              </w:rPr>
            </w:pPr>
            <w:r>
              <w:rPr>
                <w:rFonts w:hint="eastAsia" w:ascii="宋体" w:hAnsi="宋体" w:cs="宋体"/>
                <w:b/>
                <w:bCs/>
                <w:kern w:val="0"/>
                <w:szCs w:val="21"/>
              </w:rPr>
              <w:t>住宿业</w:t>
            </w:r>
          </w:p>
        </w:tc>
        <w:tc>
          <w:tcPr>
            <w:tcW w:w="1653" w:type="dxa"/>
            <w:tcBorders>
              <w:top w:val="nil"/>
              <w:left w:val="nil"/>
              <w:bottom w:val="single" w:color="auto" w:sz="4" w:space="0"/>
              <w:right w:val="single" w:color="auto" w:sz="4" w:space="0"/>
            </w:tcBorders>
            <w:vAlign w:val="center"/>
          </w:tcPr>
          <w:p w14:paraId="315D14CD">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67739721">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577E3A69">
            <w:pPr>
              <w:widowControl/>
              <w:wordWrap w:val="0"/>
              <w:jc w:val="left"/>
              <w:rPr>
                <w:rFonts w:ascii="宋体" w:hAnsi="宋体" w:cs="宋体"/>
                <w:kern w:val="0"/>
                <w:szCs w:val="21"/>
              </w:rPr>
            </w:pPr>
            <w:r>
              <w:rPr>
                <w:rFonts w:hint="eastAsia" w:ascii="宋体" w:hAnsi="宋体" w:cs="宋体"/>
                <w:kern w:val="0"/>
                <w:szCs w:val="21"/>
              </w:rPr>
              <w:t>100≤X＜300</w:t>
            </w:r>
          </w:p>
        </w:tc>
        <w:tc>
          <w:tcPr>
            <w:tcW w:w="1720" w:type="dxa"/>
            <w:tcBorders>
              <w:top w:val="nil"/>
              <w:left w:val="nil"/>
              <w:bottom w:val="single" w:color="auto" w:sz="4" w:space="0"/>
              <w:right w:val="single" w:color="auto" w:sz="4" w:space="0"/>
            </w:tcBorders>
            <w:vAlign w:val="center"/>
          </w:tcPr>
          <w:p w14:paraId="3E73F3D8">
            <w:pPr>
              <w:widowControl/>
              <w:wordWrap w:val="0"/>
              <w:jc w:val="left"/>
              <w:rPr>
                <w:rFonts w:ascii="宋体" w:hAnsi="宋体" w:cs="宋体"/>
                <w:kern w:val="0"/>
                <w:szCs w:val="21"/>
              </w:rPr>
            </w:pPr>
            <w:r>
              <w:rPr>
                <w:rFonts w:hint="eastAsia" w:ascii="宋体" w:hAnsi="宋体" w:cs="宋体"/>
                <w:kern w:val="0"/>
                <w:szCs w:val="21"/>
              </w:rPr>
              <w:t>10≤X＜100</w:t>
            </w:r>
          </w:p>
        </w:tc>
        <w:tc>
          <w:tcPr>
            <w:tcW w:w="1105" w:type="dxa"/>
            <w:tcBorders>
              <w:top w:val="nil"/>
              <w:left w:val="nil"/>
              <w:bottom w:val="single" w:color="auto" w:sz="4" w:space="0"/>
              <w:right w:val="single" w:color="auto" w:sz="4" w:space="0"/>
            </w:tcBorders>
            <w:vAlign w:val="center"/>
          </w:tcPr>
          <w:p w14:paraId="5B89C5BC">
            <w:pPr>
              <w:widowControl/>
              <w:wordWrap w:val="0"/>
              <w:jc w:val="left"/>
              <w:rPr>
                <w:rFonts w:ascii="宋体" w:hAnsi="宋体" w:cs="宋体"/>
                <w:kern w:val="0"/>
                <w:szCs w:val="21"/>
              </w:rPr>
            </w:pPr>
            <w:r>
              <w:rPr>
                <w:rFonts w:hint="eastAsia" w:ascii="宋体" w:hAnsi="宋体" w:cs="宋体"/>
                <w:kern w:val="0"/>
                <w:szCs w:val="21"/>
              </w:rPr>
              <w:t>X＜10</w:t>
            </w:r>
          </w:p>
        </w:tc>
      </w:tr>
      <w:tr w14:paraId="0ED77995">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3055AACF">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79C301F6">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2F43B891">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3D4DFD2D">
            <w:pPr>
              <w:widowControl/>
              <w:wordWrap w:val="0"/>
              <w:jc w:val="left"/>
              <w:rPr>
                <w:rFonts w:ascii="宋体" w:hAnsi="宋体" w:cs="宋体"/>
                <w:kern w:val="0"/>
                <w:szCs w:val="21"/>
              </w:rPr>
            </w:pPr>
            <w:r>
              <w:rPr>
                <w:rFonts w:hint="eastAsia" w:ascii="宋体" w:hAnsi="宋体" w:cs="宋体"/>
                <w:kern w:val="0"/>
                <w:szCs w:val="21"/>
              </w:rPr>
              <w:t>2000≤Y＜10000</w:t>
            </w:r>
          </w:p>
        </w:tc>
        <w:tc>
          <w:tcPr>
            <w:tcW w:w="1720" w:type="dxa"/>
            <w:tcBorders>
              <w:top w:val="nil"/>
              <w:left w:val="nil"/>
              <w:bottom w:val="single" w:color="auto" w:sz="4" w:space="0"/>
              <w:right w:val="single" w:color="auto" w:sz="4" w:space="0"/>
            </w:tcBorders>
            <w:vAlign w:val="center"/>
          </w:tcPr>
          <w:p w14:paraId="5B610C76">
            <w:pPr>
              <w:widowControl/>
              <w:wordWrap w:val="0"/>
              <w:jc w:val="left"/>
              <w:rPr>
                <w:rFonts w:ascii="宋体" w:hAnsi="宋体" w:cs="宋体"/>
                <w:kern w:val="0"/>
                <w:szCs w:val="21"/>
              </w:rPr>
            </w:pPr>
            <w:r>
              <w:rPr>
                <w:rFonts w:hint="eastAsia" w:ascii="宋体" w:hAnsi="宋体" w:cs="宋体"/>
                <w:kern w:val="0"/>
                <w:szCs w:val="21"/>
              </w:rPr>
              <w:t>100≤Y＜2000</w:t>
            </w:r>
          </w:p>
        </w:tc>
        <w:tc>
          <w:tcPr>
            <w:tcW w:w="1105" w:type="dxa"/>
            <w:tcBorders>
              <w:top w:val="nil"/>
              <w:left w:val="nil"/>
              <w:bottom w:val="single" w:color="auto" w:sz="4" w:space="0"/>
              <w:right w:val="single" w:color="auto" w:sz="4" w:space="0"/>
            </w:tcBorders>
            <w:vAlign w:val="center"/>
          </w:tcPr>
          <w:p w14:paraId="1FEE26BF">
            <w:pPr>
              <w:widowControl/>
              <w:wordWrap w:val="0"/>
              <w:jc w:val="left"/>
              <w:rPr>
                <w:rFonts w:ascii="宋体" w:hAnsi="宋体" w:cs="宋体"/>
                <w:kern w:val="0"/>
                <w:szCs w:val="21"/>
              </w:rPr>
            </w:pPr>
            <w:r>
              <w:rPr>
                <w:rFonts w:hint="eastAsia" w:ascii="宋体" w:hAnsi="宋体" w:cs="宋体"/>
                <w:kern w:val="0"/>
                <w:szCs w:val="21"/>
              </w:rPr>
              <w:t>Y＜100</w:t>
            </w:r>
          </w:p>
        </w:tc>
      </w:tr>
      <w:tr w14:paraId="7B892C5E">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1E488678">
            <w:pPr>
              <w:widowControl/>
              <w:wordWrap w:val="0"/>
              <w:jc w:val="center"/>
              <w:rPr>
                <w:rFonts w:ascii="宋体" w:hAnsi="宋体" w:cs="宋体"/>
                <w:b/>
                <w:bCs/>
                <w:kern w:val="0"/>
                <w:szCs w:val="21"/>
              </w:rPr>
            </w:pPr>
            <w:r>
              <w:rPr>
                <w:rFonts w:hint="eastAsia" w:ascii="宋体" w:hAnsi="宋体" w:cs="宋体"/>
                <w:b/>
                <w:bCs/>
                <w:kern w:val="0"/>
                <w:szCs w:val="21"/>
              </w:rPr>
              <w:t>餐饮业</w:t>
            </w:r>
          </w:p>
        </w:tc>
        <w:tc>
          <w:tcPr>
            <w:tcW w:w="1653" w:type="dxa"/>
            <w:tcBorders>
              <w:top w:val="nil"/>
              <w:left w:val="nil"/>
              <w:bottom w:val="single" w:color="auto" w:sz="4" w:space="0"/>
              <w:right w:val="single" w:color="auto" w:sz="4" w:space="0"/>
            </w:tcBorders>
            <w:vAlign w:val="center"/>
          </w:tcPr>
          <w:p w14:paraId="4EEC65EF">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14B69145">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7E8BB931">
            <w:pPr>
              <w:widowControl/>
              <w:wordWrap w:val="0"/>
              <w:jc w:val="left"/>
              <w:rPr>
                <w:rFonts w:ascii="宋体" w:hAnsi="宋体" w:cs="宋体"/>
                <w:kern w:val="0"/>
                <w:szCs w:val="21"/>
              </w:rPr>
            </w:pPr>
            <w:r>
              <w:rPr>
                <w:rFonts w:hint="eastAsia" w:ascii="宋体" w:hAnsi="宋体" w:cs="宋体"/>
                <w:kern w:val="0"/>
                <w:szCs w:val="21"/>
              </w:rPr>
              <w:t>100≤X＜300</w:t>
            </w:r>
          </w:p>
        </w:tc>
        <w:tc>
          <w:tcPr>
            <w:tcW w:w="1720" w:type="dxa"/>
            <w:tcBorders>
              <w:top w:val="nil"/>
              <w:left w:val="nil"/>
              <w:bottom w:val="single" w:color="auto" w:sz="4" w:space="0"/>
              <w:right w:val="single" w:color="auto" w:sz="4" w:space="0"/>
            </w:tcBorders>
            <w:vAlign w:val="center"/>
          </w:tcPr>
          <w:p w14:paraId="66C2D906">
            <w:pPr>
              <w:widowControl/>
              <w:wordWrap w:val="0"/>
              <w:jc w:val="left"/>
              <w:rPr>
                <w:rFonts w:ascii="宋体" w:hAnsi="宋体" w:cs="宋体"/>
                <w:kern w:val="0"/>
                <w:szCs w:val="21"/>
              </w:rPr>
            </w:pPr>
            <w:r>
              <w:rPr>
                <w:rFonts w:hint="eastAsia" w:ascii="宋体" w:hAnsi="宋体" w:cs="宋体"/>
                <w:kern w:val="0"/>
                <w:szCs w:val="21"/>
              </w:rPr>
              <w:t>10≤X＜100</w:t>
            </w:r>
          </w:p>
        </w:tc>
        <w:tc>
          <w:tcPr>
            <w:tcW w:w="1105" w:type="dxa"/>
            <w:tcBorders>
              <w:top w:val="nil"/>
              <w:left w:val="nil"/>
              <w:bottom w:val="single" w:color="auto" w:sz="4" w:space="0"/>
              <w:right w:val="single" w:color="auto" w:sz="4" w:space="0"/>
            </w:tcBorders>
            <w:vAlign w:val="center"/>
          </w:tcPr>
          <w:p w14:paraId="0CDC536A">
            <w:pPr>
              <w:widowControl/>
              <w:wordWrap w:val="0"/>
              <w:jc w:val="left"/>
              <w:rPr>
                <w:rFonts w:ascii="宋体" w:hAnsi="宋体" w:cs="宋体"/>
                <w:kern w:val="0"/>
                <w:szCs w:val="21"/>
              </w:rPr>
            </w:pPr>
            <w:r>
              <w:rPr>
                <w:rFonts w:hint="eastAsia" w:ascii="宋体" w:hAnsi="宋体" w:cs="宋体"/>
                <w:kern w:val="0"/>
                <w:szCs w:val="21"/>
              </w:rPr>
              <w:t>X＜10</w:t>
            </w:r>
          </w:p>
        </w:tc>
      </w:tr>
      <w:tr w14:paraId="4DE552DE">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42D49C55">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1C4CFB34">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5DCF7826">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310D0406">
            <w:pPr>
              <w:widowControl/>
              <w:wordWrap w:val="0"/>
              <w:jc w:val="left"/>
              <w:rPr>
                <w:rFonts w:ascii="宋体" w:hAnsi="宋体" w:cs="宋体"/>
                <w:kern w:val="0"/>
                <w:szCs w:val="21"/>
              </w:rPr>
            </w:pPr>
            <w:r>
              <w:rPr>
                <w:rFonts w:hint="eastAsia" w:ascii="宋体" w:hAnsi="宋体" w:cs="宋体"/>
                <w:kern w:val="0"/>
                <w:szCs w:val="21"/>
              </w:rPr>
              <w:t>2000≤Y＜10000</w:t>
            </w:r>
          </w:p>
        </w:tc>
        <w:tc>
          <w:tcPr>
            <w:tcW w:w="1720" w:type="dxa"/>
            <w:tcBorders>
              <w:top w:val="nil"/>
              <w:left w:val="nil"/>
              <w:bottom w:val="single" w:color="auto" w:sz="4" w:space="0"/>
              <w:right w:val="single" w:color="auto" w:sz="4" w:space="0"/>
            </w:tcBorders>
            <w:vAlign w:val="center"/>
          </w:tcPr>
          <w:p w14:paraId="18EEB3D7">
            <w:pPr>
              <w:widowControl/>
              <w:wordWrap w:val="0"/>
              <w:jc w:val="left"/>
              <w:rPr>
                <w:rFonts w:ascii="宋体" w:hAnsi="宋体" w:cs="宋体"/>
                <w:kern w:val="0"/>
                <w:szCs w:val="21"/>
              </w:rPr>
            </w:pPr>
            <w:r>
              <w:rPr>
                <w:rFonts w:hint="eastAsia" w:ascii="宋体" w:hAnsi="宋体" w:cs="宋体"/>
                <w:kern w:val="0"/>
                <w:szCs w:val="21"/>
              </w:rPr>
              <w:t>100≤Y＜2000</w:t>
            </w:r>
          </w:p>
        </w:tc>
        <w:tc>
          <w:tcPr>
            <w:tcW w:w="1105" w:type="dxa"/>
            <w:tcBorders>
              <w:top w:val="nil"/>
              <w:left w:val="nil"/>
              <w:bottom w:val="single" w:color="auto" w:sz="4" w:space="0"/>
              <w:right w:val="single" w:color="auto" w:sz="4" w:space="0"/>
            </w:tcBorders>
            <w:vAlign w:val="center"/>
          </w:tcPr>
          <w:p w14:paraId="16A352B4">
            <w:pPr>
              <w:widowControl/>
              <w:wordWrap w:val="0"/>
              <w:jc w:val="left"/>
              <w:rPr>
                <w:rFonts w:ascii="宋体" w:hAnsi="宋体" w:cs="宋体"/>
                <w:kern w:val="0"/>
                <w:szCs w:val="21"/>
              </w:rPr>
            </w:pPr>
            <w:r>
              <w:rPr>
                <w:rFonts w:hint="eastAsia" w:ascii="宋体" w:hAnsi="宋体" w:cs="宋体"/>
                <w:kern w:val="0"/>
                <w:szCs w:val="21"/>
              </w:rPr>
              <w:t>Y＜100</w:t>
            </w:r>
          </w:p>
        </w:tc>
      </w:tr>
      <w:tr w14:paraId="7523CF76">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5C557462">
            <w:pPr>
              <w:widowControl/>
              <w:wordWrap w:val="0"/>
              <w:jc w:val="center"/>
              <w:rPr>
                <w:rFonts w:ascii="宋体" w:hAnsi="宋体" w:cs="宋体"/>
                <w:b/>
                <w:bCs/>
                <w:kern w:val="0"/>
                <w:szCs w:val="21"/>
              </w:rPr>
            </w:pPr>
            <w:r>
              <w:rPr>
                <w:rFonts w:hint="eastAsia" w:ascii="宋体" w:hAnsi="宋体" w:cs="宋体"/>
                <w:b/>
                <w:bCs/>
                <w:kern w:val="0"/>
                <w:szCs w:val="21"/>
              </w:rPr>
              <w:t>信息传输业</w:t>
            </w:r>
          </w:p>
        </w:tc>
        <w:tc>
          <w:tcPr>
            <w:tcW w:w="1653" w:type="dxa"/>
            <w:tcBorders>
              <w:top w:val="nil"/>
              <w:left w:val="nil"/>
              <w:bottom w:val="single" w:color="auto" w:sz="4" w:space="0"/>
              <w:right w:val="single" w:color="auto" w:sz="4" w:space="0"/>
            </w:tcBorders>
            <w:vAlign w:val="center"/>
          </w:tcPr>
          <w:p w14:paraId="76EFC76B">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45E8883E">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1F8A86C8">
            <w:pPr>
              <w:widowControl/>
              <w:wordWrap w:val="0"/>
              <w:jc w:val="left"/>
              <w:rPr>
                <w:rFonts w:ascii="宋体" w:hAnsi="宋体" w:cs="宋体"/>
                <w:kern w:val="0"/>
                <w:szCs w:val="21"/>
              </w:rPr>
            </w:pPr>
            <w:r>
              <w:rPr>
                <w:rFonts w:hint="eastAsia" w:ascii="宋体" w:hAnsi="宋体" w:cs="宋体"/>
                <w:kern w:val="0"/>
                <w:szCs w:val="21"/>
              </w:rPr>
              <w:t>100≤X＜2000</w:t>
            </w:r>
          </w:p>
        </w:tc>
        <w:tc>
          <w:tcPr>
            <w:tcW w:w="1720" w:type="dxa"/>
            <w:tcBorders>
              <w:top w:val="nil"/>
              <w:left w:val="nil"/>
              <w:bottom w:val="single" w:color="auto" w:sz="4" w:space="0"/>
              <w:right w:val="single" w:color="auto" w:sz="4" w:space="0"/>
            </w:tcBorders>
            <w:vAlign w:val="center"/>
          </w:tcPr>
          <w:p w14:paraId="357DA3A3">
            <w:pPr>
              <w:widowControl/>
              <w:wordWrap w:val="0"/>
              <w:jc w:val="left"/>
              <w:rPr>
                <w:rFonts w:ascii="宋体" w:hAnsi="宋体" w:cs="宋体"/>
                <w:kern w:val="0"/>
                <w:szCs w:val="21"/>
              </w:rPr>
            </w:pPr>
            <w:r>
              <w:rPr>
                <w:rFonts w:hint="eastAsia" w:ascii="宋体" w:hAnsi="宋体" w:cs="宋体"/>
                <w:kern w:val="0"/>
                <w:szCs w:val="21"/>
              </w:rPr>
              <w:t>10≤X＜100</w:t>
            </w:r>
          </w:p>
        </w:tc>
        <w:tc>
          <w:tcPr>
            <w:tcW w:w="1105" w:type="dxa"/>
            <w:tcBorders>
              <w:top w:val="nil"/>
              <w:left w:val="nil"/>
              <w:bottom w:val="single" w:color="auto" w:sz="4" w:space="0"/>
              <w:right w:val="single" w:color="auto" w:sz="4" w:space="0"/>
            </w:tcBorders>
            <w:vAlign w:val="center"/>
          </w:tcPr>
          <w:p w14:paraId="3CE5CD5F">
            <w:pPr>
              <w:widowControl/>
              <w:wordWrap w:val="0"/>
              <w:jc w:val="left"/>
              <w:rPr>
                <w:rFonts w:ascii="宋体" w:hAnsi="宋体" w:cs="宋体"/>
                <w:kern w:val="0"/>
                <w:szCs w:val="21"/>
              </w:rPr>
            </w:pPr>
            <w:r>
              <w:rPr>
                <w:rFonts w:hint="eastAsia" w:ascii="宋体" w:hAnsi="宋体" w:cs="宋体"/>
                <w:kern w:val="0"/>
                <w:szCs w:val="21"/>
              </w:rPr>
              <w:t>X＜10</w:t>
            </w:r>
          </w:p>
        </w:tc>
      </w:tr>
      <w:tr w14:paraId="1FE47487">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5BD3F742">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225FDB74">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22F6F1E8">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3AF5C5ED">
            <w:pPr>
              <w:widowControl/>
              <w:wordWrap w:val="0"/>
              <w:jc w:val="left"/>
              <w:rPr>
                <w:rFonts w:ascii="宋体" w:hAnsi="宋体" w:cs="宋体"/>
                <w:kern w:val="0"/>
                <w:szCs w:val="21"/>
              </w:rPr>
            </w:pPr>
            <w:r>
              <w:rPr>
                <w:rFonts w:hint="eastAsia" w:ascii="宋体" w:hAnsi="宋体" w:cs="宋体"/>
                <w:kern w:val="0"/>
                <w:szCs w:val="21"/>
              </w:rPr>
              <w:t>1000≤Y＜100000</w:t>
            </w:r>
          </w:p>
        </w:tc>
        <w:tc>
          <w:tcPr>
            <w:tcW w:w="1720" w:type="dxa"/>
            <w:tcBorders>
              <w:top w:val="nil"/>
              <w:left w:val="nil"/>
              <w:bottom w:val="single" w:color="auto" w:sz="4" w:space="0"/>
              <w:right w:val="single" w:color="auto" w:sz="4" w:space="0"/>
            </w:tcBorders>
            <w:vAlign w:val="center"/>
          </w:tcPr>
          <w:p w14:paraId="2DA6054E">
            <w:pPr>
              <w:widowControl/>
              <w:wordWrap w:val="0"/>
              <w:jc w:val="left"/>
              <w:rPr>
                <w:rFonts w:ascii="宋体" w:hAnsi="宋体" w:cs="宋体"/>
                <w:kern w:val="0"/>
                <w:szCs w:val="21"/>
              </w:rPr>
            </w:pPr>
            <w:r>
              <w:rPr>
                <w:rFonts w:hint="eastAsia" w:ascii="宋体" w:hAnsi="宋体" w:cs="宋体"/>
                <w:kern w:val="0"/>
                <w:szCs w:val="21"/>
              </w:rPr>
              <w:t>100≤Y＜1000</w:t>
            </w:r>
          </w:p>
        </w:tc>
        <w:tc>
          <w:tcPr>
            <w:tcW w:w="1105" w:type="dxa"/>
            <w:tcBorders>
              <w:top w:val="nil"/>
              <w:left w:val="nil"/>
              <w:bottom w:val="single" w:color="auto" w:sz="4" w:space="0"/>
              <w:right w:val="single" w:color="auto" w:sz="4" w:space="0"/>
            </w:tcBorders>
            <w:vAlign w:val="center"/>
          </w:tcPr>
          <w:p w14:paraId="6F9D4227">
            <w:pPr>
              <w:widowControl/>
              <w:wordWrap w:val="0"/>
              <w:jc w:val="left"/>
              <w:rPr>
                <w:rFonts w:ascii="宋体" w:hAnsi="宋体" w:cs="宋体"/>
                <w:kern w:val="0"/>
                <w:szCs w:val="21"/>
              </w:rPr>
            </w:pPr>
            <w:r>
              <w:rPr>
                <w:rFonts w:hint="eastAsia" w:ascii="宋体" w:hAnsi="宋体" w:cs="宋体"/>
                <w:kern w:val="0"/>
                <w:szCs w:val="21"/>
              </w:rPr>
              <w:t>Y＜100</w:t>
            </w:r>
          </w:p>
        </w:tc>
      </w:tr>
      <w:tr w14:paraId="484BCAFF">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57936C27">
            <w:pPr>
              <w:widowControl/>
              <w:wordWrap w:val="0"/>
              <w:jc w:val="center"/>
              <w:rPr>
                <w:rFonts w:ascii="宋体" w:hAnsi="宋体" w:cs="宋体"/>
                <w:b/>
                <w:bCs/>
                <w:kern w:val="0"/>
                <w:szCs w:val="21"/>
              </w:rPr>
            </w:pPr>
            <w:r>
              <w:rPr>
                <w:rFonts w:hint="eastAsia" w:ascii="宋体" w:hAnsi="宋体" w:cs="宋体"/>
                <w:b/>
                <w:bCs/>
                <w:kern w:val="0"/>
                <w:szCs w:val="21"/>
              </w:rPr>
              <w:t>软件和信息技术服务业</w:t>
            </w:r>
          </w:p>
        </w:tc>
        <w:tc>
          <w:tcPr>
            <w:tcW w:w="1653" w:type="dxa"/>
            <w:tcBorders>
              <w:top w:val="nil"/>
              <w:left w:val="nil"/>
              <w:bottom w:val="single" w:color="auto" w:sz="4" w:space="0"/>
              <w:right w:val="single" w:color="auto" w:sz="4" w:space="0"/>
            </w:tcBorders>
            <w:vAlign w:val="center"/>
          </w:tcPr>
          <w:p w14:paraId="6CCC5F4C">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4142971B">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5A12FDF6">
            <w:pPr>
              <w:widowControl/>
              <w:wordWrap w:val="0"/>
              <w:jc w:val="left"/>
              <w:rPr>
                <w:rFonts w:ascii="宋体" w:hAnsi="宋体" w:cs="宋体"/>
                <w:kern w:val="0"/>
                <w:szCs w:val="21"/>
              </w:rPr>
            </w:pPr>
            <w:r>
              <w:rPr>
                <w:rFonts w:hint="eastAsia" w:ascii="宋体" w:hAnsi="宋体" w:cs="宋体"/>
                <w:kern w:val="0"/>
                <w:szCs w:val="21"/>
              </w:rPr>
              <w:t>100≤X＜300</w:t>
            </w:r>
          </w:p>
        </w:tc>
        <w:tc>
          <w:tcPr>
            <w:tcW w:w="1720" w:type="dxa"/>
            <w:tcBorders>
              <w:top w:val="nil"/>
              <w:left w:val="nil"/>
              <w:bottom w:val="single" w:color="auto" w:sz="4" w:space="0"/>
              <w:right w:val="single" w:color="auto" w:sz="4" w:space="0"/>
            </w:tcBorders>
            <w:vAlign w:val="center"/>
          </w:tcPr>
          <w:p w14:paraId="72D08C79">
            <w:pPr>
              <w:widowControl/>
              <w:wordWrap w:val="0"/>
              <w:jc w:val="left"/>
              <w:rPr>
                <w:rFonts w:ascii="宋体" w:hAnsi="宋体" w:cs="宋体"/>
                <w:kern w:val="0"/>
                <w:szCs w:val="21"/>
              </w:rPr>
            </w:pPr>
            <w:r>
              <w:rPr>
                <w:rFonts w:hint="eastAsia" w:ascii="宋体" w:hAnsi="宋体" w:cs="宋体"/>
                <w:kern w:val="0"/>
                <w:szCs w:val="21"/>
              </w:rPr>
              <w:t>10≤X＜100</w:t>
            </w:r>
          </w:p>
        </w:tc>
        <w:tc>
          <w:tcPr>
            <w:tcW w:w="1105" w:type="dxa"/>
            <w:tcBorders>
              <w:top w:val="nil"/>
              <w:left w:val="nil"/>
              <w:bottom w:val="single" w:color="auto" w:sz="4" w:space="0"/>
              <w:right w:val="single" w:color="auto" w:sz="4" w:space="0"/>
            </w:tcBorders>
            <w:vAlign w:val="center"/>
          </w:tcPr>
          <w:p w14:paraId="34BACEA0">
            <w:pPr>
              <w:widowControl/>
              <w:wordWrap w:val="0"/>
              <w:jc w:val="left"/>
              <w:rPr>
                <w:rFonts w:ascii="宋体" w:hAnsi="宋体" w:cs="宋体"/>
                <w:kern w:val="0"/>
                <w:szCs w:val="21"/>
              </w:rPr>
            </w:pPr>
            <w:r>
              <w:rPr>
                <w:rFonts w:hint="eastAsia" w:ascii="宋体" w:hAnsi="宋体" w:cs="宋体"/>
                <w:kern w:val="0"/>
                <w:szCs w:val="21"/>
              </w:rPr>
              <w:t>X＜10</w:t>
            </w:r>
          </w:p>
        </w:tc>
      </w:tr>
      <w:tr w14:paraId="61903EF0">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7FA75B88">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47ED1B17">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5267A7B2">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3D25741D">
            <w:pPr>
              <w:widowControl/>
              <w:wordWrap w:val="0"/>
              <w:jc w:val="left"/>
              <w:rPr>
                <w:rFonts w:ascii="宋体" w:hAnsi="宋体" w:cs="宋体"/>
                <w:kern w:val="0"/>
                <w:szCs w:val="21"/>
              </w:rPr>
            </w:pPr>
            <w:r>
              <w:rPr>
                <w:rFonts w:hint="eastAsia" w:ascii="宋体" w:hAnsi="宋体" w:cs="宋体"/>
                <w:kern w:val="0"/>
                <w:szCs w:val="21"/>
              </w:rPr>
              <w:t>1000≤Y＜10000</w:t>
            </w:r>
          </w:p>
        </w:tc>
        <w:tc>
          <w:tcPr>
            <w:tcW w:w="1720" w:type="dxa"/>
            <w:tcBorders>
              <w:top w:val="nil"/>
              <w:left w:val="nil"/>
              <w:bottom w:val="single" w:color="auto" w:sz="4" w:space="0"/>
              <w:right w:val="single" w:color="auto" w:sz="4" w:space="0"/>
            </w:tcBorders>
            <w:vAlign w:val="center"/>
          </w:tcPr>
          <w:p w14:paraId="54547682">
            <w:pPr>
              <w:widowControl/>
              <w:wordWrap w:val="0"/>
              <w:jc w:val="left"/>
              <w:rPr>
                <w:rFonts w:ascii="宋体" w:hAnsi="宋体" w:cs="宋体"/>
                <w:kern w:val="0"/>
                <w:szCs w:val="21"/>
              </w:rPr>
            </w:pPr>
            <w:r>
              <w:rPr>
                <w:rFonts w:hint="eastAsia" w:ascii="宋体" w:hAnsi="宋体" w:cs="宋体"/>
                <w:kern w:val="0"/>
                <w:szCs w:val="21"/>
              </w:rPr>
              <w:t>50≤Y＜1000</w:t>
            </w:r>
          </w:p>
        </w:tc>
        <w:tc>
          <w:tcPr>
            <w:tcW w:w="1105" w:type="dxa"/>
            <w:tcBorders>
              <w:top w:val="nil"/>
              <w:left w:val="nil"/>
              <w:bottom w:val="single" w:color="auto" w:sz="4" w:space="0"/>
              <w:right w:val="single" w:color="auto" w:sz="4" w:space="0"/>
            </w:tcBorders>
            <w:vAlign w:val="center"/>
          </w:tcPr>
          <w:p w14:paraId="6D07D989">
            <w:pPr>
              <w:widowControl/>
              <w:wordWrap w:val="0"/>
              <w:jc w:val="left"/>
              <w:rPr>
                <w:rFonts w:ascii="宋体" w:hAnsi="宋体" w:cs="宋体"/>
                <w:kern w:val="0"/>
                <w:szCs w:val="21"/>
              </w:rPr>
            </w:pPr>
            <w:r>
              <w:rPr>
                <w:rFonts w:hint="eastAsia" w:ascii="宋体" w:hAnsi="宋体" w:cs="宋体"/>
                <w:kern w:val="0"/>
                <w:szCs w:val="21"/>
              </w:rPr>
              <w:t>Y＜50</w:t>
            </w:r>
          </w:p>
        </w:tc>
      </w:tr>
      <w:tr w14:paraId="0BE83B04">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52F0A9C3">
            <w:pPr>
              <w:widowControl/>
              <w:wordWrap w:val="0"/>
              <w:jc w:val="center"/>
              <w:rPr>
                <w:rFonts w:ascii="宋体" w:hAnsi="宋体" w:cs="宋体"/>
                <w:b/>
                <w:bCs/>
                <w:kern w:val="0"/>
                <w:szCs w:val="21"/>
              </w:rPr>
            </w:pPr>
            <w:r>
              <w:rPr>
                <w:rFonts w:hint="eastAsia" w:ascii="宋体" w:hAnsi="宋体" w:cs="宋体"/>
                <w:b/>
                <w:bCs/>
                <w:kern w:val="0"/>
                <w:szCs w:val="21"/>
              </w:rPr>
              <w:t>房地产开发经营</w:t>
            </w:r>
          </w:p>
        </w:tc>
        <w:tc>
          <w:tcPr>
            <w:tcW w:w="1653" w:type="dxa"/>
            <w:tcBorders>
              <w:top w:val="nil"/>
              <w:left w:val="nil"/>
              <w:bottom w:val="single" w:color="auto" w:sz="4" w:space="0"/>
              <w:right w:val="single" w:color="auto" w:sz="4" w:space="0"/>
            </w:tcBorders>
            <w:vAlign w:val="center"/>
          </w:tcPr>
          <w:p w14:paraId="61EFDD18">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16E8584F">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5E5148AB">
            <w:pPr>
              <w:widowControl/>
              <w:wordWrap w:val="0"/>
              <w:jc w:val="left"/>
              <w:rPr>
                <w:rFonts w:ascii="宋体" w:hAnsi="宋体" w:cs="宋体"/>
                <w:kern w:val="0"/>
                <w:szCs w:val="21"/>
              </w:rPr>
            </w:pPr>
            <w:r>
              <w:rPr>
                <w:rFonts w:hint="eastAsia" w:ascii="宋体" w:hAnsi="宋体" w:cs="宋体"/>
                <w:kern w:val="0"/>
                <w:szCs w:val="21"/>
              </w:rPr>
              <w:t>1000≤Y＜200000</w:t>
            </w:r>
          </w:p>
        </w:tc>
        <w:tc>
          <w:tcPr>
            <w:tcW w:w="1720" w:type="dxa"/>
            <w:tcBorders>
              <w:top w:val="nil"/>
              <w:left w:val="nil"/>
              <w:bottom w:val="single" w:color="auto" w:sz="4" w:space="0"/>
              <w:right w:val="single" w:color="auto" w:sz="4" w:space="0"/>
            </w:tcBorders>
            <w:vAlign w:val="center"/>
          </w:tcPr>
          <w:p w14:paraId="49CB55B4">
            <w:pPr>
              <w:widowControl/>
              <w:wordWrap w:val="0"/>
              <w:jc w:val="left"/>
              <w:rPr>
                <w:rFonts w:ascii="宋体" w:hAnsi="宋体" w:cs="宋体"/>
                <w:kern w:val="0"/>
                <w:szCs w:val="21"/>
              </w:rPr>
            </w:pPr>
            <w:r>
              <w:rPr>
                <w:rFonts w:hint="eastAsia" w:ascii="宋体" w:hAnsi="宋体" w:cs="宋体"/>
                <w:kern w:val="0"/>
                <w:szCs w:val="21"/>
              </w:rPr>
              <w:t>100≤X＜1000</w:t>
            </w:r>
          </w:p>
        </w:tc>
        <w:tc>
          <w:tcPr>
            <w:tcW w:w="1105" w:type="dxa"/>
            <w:tcBorders>
              <w:top w:val="nil"/>
              <w:left w:val="nil"/>
              <w:bottom w:val="single" w:color="auto" w:sz="4" w:space="0"/>
              <w:right w:val="single" w:color="auto" w:sz="4" w:space="0"/>
            </w:tcBorders>
            <w:vAlign w:val="center"/>
          </w:tcPr>
          <w:p w14:paraId="6F718BF0">
            <w:pPr>
              <w:widowControl/>
              <w:wordWrap w:val="0"/>
              <w:jc w:val="left"/>
              <w:rPr>
                <w:rFonts w:ascii="宋体" w:hAnsi="宋体" w:cs="宋体"/>
                <w:kern w:val="0"/>
                <w:szCs w:val="21"/>
              </w:rPr>
            </w:pPr>
            <w:r>
              <w:rPr>
                <w:rFonts w:hint="eastAsia" w:ascii="宋体" w:hAnsi="宋体" w:cs="宋体"/>
                <w:kern w:val="0"/>
                <w:szCs w:val="21"/>
              </w:rPr>
              <w:t>X＜100</w:t>
            </w:r>
          </w:p>
        </w:tc>
      </w:tr>
      <w:tr w14:paraId="597FAEC1">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64A830E1">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43D931AD">
            <w:pPr>
              <w:widowControl/>
              <w:wordWrap w:val="0"/>
              <w:jc w:val="left"/>
              <w:rPr>
                <w:rFonts w:ascii="宋体" w:hAnsi="宋体" w:cs="宋体"/>
                <w:kern w:val="0"/>
                <w:szCs w:val="21"/>
              </w:rPr>
            </w:pPr>
            <w:r>
              <w:rPr>
                <w:rFonts w:hint="eastAsia" w:ascii="宋体" w:hAnsi="宋体" w:cs="宋体"/>
                <w:kern w:val="0"/>
                <w:szCs w:val="21"/>
              </w:rPr>
              <w:t>资产总额（Z）</w:t>
            </w:r>
          </w:p>
        </w:tc>
        <w:tc>
          <w:tcPr>
            <w:tcW w:w="1091" w:type="dxa"/>
            <w:tcBorders>
              <w:top w:val="nil"/>
              <w:left w:val="nil"/>
              <w:bottom w:val="single" w:color="auto" w:sz="4" w:space="0"/>
              <w:right w:val="single" w:color="auto" w:sz="4" w:space="0"/>
            </w:tcBorders>
            <w:vAlign w:val="center"/>
          </w:tcPr>
          <w:p w14:paraId="6C93581C">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6442BF55">
            <w:pPr>
              <w:widowControl/>
              <w:wordWrap w:val="0"/>
              <w:jc w:val="left"/>
              <w:rPr>
                <w:rFonts w:ascii="宋体" w:hAnsi="宋体" w:cs="宋体"/>
                <w:kern w:val="0"/>
                <w:szCs w:val="21"/>
              </w:rPr>
            </w:pPr>
            <w:r>
              <w:rPr>
                <w:rFonts w:hint="eastAsia" w:ascii="宋体" w:hAnsi="宋体" w:cs="宋体"/>
                <w:kern w:val="0"/>
                <w:szCs w:val="21"/>
              </w:rPr>
              <w:t>5000≤Z＜10000</w:t>
            </w:r>
          </w:p>
        </w:tc>
        <w:tc>
          <w:tcPr>
            <w:tcW w:w="1720" w:type="dxa"/>
            <w:tcBorders>
              <w:top w:val="nil"/>
              <w:left w:val="nil"/>
              <w:bottom w:val="single" w:color="auto" w:sz="4" w:space="0"/>
              <w:right w:val="single" w:color="auto" w:sz="4" w:space="0"/>
            </w:tcBorders>
            <w:vAlign w:val="center"/>
          </w:tcPr>
          <w:p w14:paraId="4A678945">
            <w:pPr>
              <w:widowControl/>
              <w:wordWrap w:val="0"/>
              <w:jc w:val="left"/>
              <w:rPr>
                <w:rFonts w:ascii="宋体" w:hAnsi="宋体" w:cs="宋体"/>
                <w:kern w:val="0"/>
                <w:szCs w:val="21"/>
              </w:rPr>
            </w:pPr>
            <w:r>
              <w:rPr>
                <w:rFonts w:hint="eastAsia" w:ascii="宋体" w:hAnsi="宋体" w:cs="宋体"/>
                <w:kern w:val="0"/>
                <w:szCs w:val="21"/>
              </w:rPr>
              <w:t>2000≤Y＜5000</w:t>
            </w:r>
          </w:p>
        </w:tc>
        <w:tc>
          <w:tcPr>
            <w:tcW w:w="1105" w:type="dxa"/>
            <w:tcBorders>
              <w:top w:val="nil"/>
              <w:left w:val="nil"/>
              <w:bottom w:val="single" w:color="auto" w:sz="4" w:space="0"/>
              <w:right w:val="single" w:color="auto" w:sz="4" w:space="0"/>
            </w:tcBorders>
            <w:vAlign w:val="center"/>
          </w:tcPr>
          <w:p w14:paraId="33D694BD">
            <w:pPr>
              <w:widowControl/>
              <w:wordWrap w:val="0"/>
              <w:jc w:val="left"/>
              <w:rPr>
                <w:rFonts w:ascii="宋体" w:hAnsi="宋体" w:cs="宋体"/>
                <w:kern w:val="0"/>
                <w:szCs w:val="21"/>
              </w:rPr>
            </w:pPr>
            <w:r>
              <w:rPr>
                <w:rFonts w:hint="eastAsia" w:ascii="宋体" w:hAnsi="宋体" w:cs="宋体"/>
                <w:kern w:val="0"/>
                <w:szCs w:val="21"/>
              </w:rPr>
              <w:t>Y＜2000</w:t>
            </w:r>
          </w:p>
        </w:tc>
      </w:tr>
      <w:tr w14:paraId="23571011">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5E1DD34C">
            <w:pPr>
              <w:widowControl/>
              <w:wordWrap w:val="0"/>
              <w:jc w:val="center"/>
              <w:rPr>
                <w:rFonts w:ascii="宋体" w:hAnsi="宋体" w:cs="宋体"/>
                <w:b/>
                <w:bCs/>
                <w:kern w:val="0"/>
                <w:szCs w:val="21"/>
              </w:rPr>
            </w:pPr>
            <w:r>
              <w:rPr>
                <w:rFonts w:hint="eastAsia" w:ascii="宋体" w:hAnsi="宋体" w:cs="宋体"/>
                <w:b/>
                <w:bCs/>
                <w:kern w:val="0"/>
                <w:szCs w:val="21"/>
              </w:rPr>
              <w:t>物业管理</w:t>
            </w:r>
          </w:p>
        </w:tc>
        <w:tc>
          <w:tcPr>
            <w:tcW w:w="1653" w:type="dxa"/>
            <w:tcBorders>
              <w:top w:val="nil"/>
              <w:left w:val="nil"/>
              <w:bottom w:val="single" w:color="auto" w:sz="4" w:space="0"/>
              <w:right w:val="single" w:color="auto" w:sz="4" w:space="0"/>
            </w:tcBorders>
            <w:vAlign w:val="center"/>
          </w:tcPr>
          <w:p w14:paraId="0EA51170">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76E5D80E">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12631A46">
            <w:pPr>
              <w:widowControl/>
              <w:wordWrap w:val="0"/>
              <w:jc w:val="left"/>
              <w:rPr>
                <w:rFonts w:ascii="宋体" w:hAnsi="宋体" w:cs="宋体"/>
                <w:kern w:val="0"/>
                <w:szCs w:val="21"/>
              </w:rPr>
            </w:pPr>
            <w:r>
              <w:rPr>
                <w:rFonts w:hint="eastAsia" w:ascii="宋体" w:hAnsi="宋体" w:cs="宋体"/>
                <w:kern w:val="0"/>
                <w:szCs w:val="21"/>
              </w:rPr>
              <w:t>300≤X＜1000</w:t>
            </w:r>
          </w:p>
        </w:tc>
        <w:tc>
          <w:tcPr>
            <w:tcW w:w="1720" w:type="dxa"/>
            <w:tcBorders>
              <w:top w:val="nil"/>
              <w:left w:val="nil"/>
              <w:bottom w:val="single" w:color="auto" w:sz="4" w:space="0"/>
              <w:right w:val="single" w:color="auto" w:sz="4" w:space="0"/>
            </w:tcBorders>
            <w:vAlign w:val="center"/>
          </w:tcPr>
          <w:p w14:paraId="65E6376D">
            <w:pPr>
              <w:widowControl/>
              <w:wordWrap w:val="0"/>
              <w:jc w:val="left"/>
              <w:rPr>
                <w:rFonts w:ascii="宋体" w:hAnsi="宋体" w:cs="宋体"/>
                <w:kern w:val="0"/>
                <w:szCs w:val="21"/>
              </w:rPr>
            </w:pPr>
            <w:r>
              <w:rPr>
                <w:rFonts w:hint="eastAsia" w:ascii="宋体" w:hAnsi="宋体" w:cs="宋体"/>
                <w:kern w:val="0"/>
                <w:szCs w:val="21"/>
              </w:rPr>
              <w:t>100≤X＜300</w:t>
            </w:r>
          </w:p>
        </w:tc>
        <w:tc>
          <w:tcPr>
            <w:tcW w:w="1105" w:type="dxa"/>
            <w:tcBorders>
              <w:top w:val="nil"/>
              <w:left w:val="nil"/>
              <w:bottom w:val="single" w:color="auto" w:sz="4" w:space="0"/>
              <w:right w:val="single" w:color="auto" w:sz="4" w:space="0"/>
            </w:tcBorders>
            <w:vAlign w:val="center"/>
          </w:tcPr>
          <w:p w14:paraId="47B2052A">
            <w:pPr>
              <w:widowControl/>
              <w:wordWrap w:val="0"/>
              <w:jc w:val="left"/>
              <w:rPr>
                <w:rFonts w:ascii="宋体" w:hAnsi="宋体" w:cs="宋体"/>
                <w:kern w:val="0"/>
                <w:szCs w:val="21"/>
              </w:rPr>
            </w:pPr>
            <w:r>
              <w:rPr>
                <w:rFonts w:hint="eastAsia" w:ascii="宋体" w:hAnsi="宋体" w:cs="宋体"/>
                <w:kern w:val="0"/>
                <w:szCs w:val="21"/>
              </w:rPr>
              <w:t>X＜100</w:t>
            </w:r>
          </w:p>
        </w:tc>
      </w:tr>
      <w:tr w14:paraId="4F59C38B">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4B6F25F5">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0AA9B351">
            <w:pPr>
              <w:widowControl/>
              <w:wordWrap w:val="0"/>
              <w:jc w:val="left"/>
              <w:rPr>
                <w:rFonts w:ascii="宋体" w:hAnsi="宋体" w:cs="宋体"/>
                <w:kern w:val="0"/>
                <w:szCs w:val="21"/>
              </w:rPr>
            </w:pPr>
            <w:r>
              <w:rPr>
                <w:rFonts w:hint="eastAsia" w:ascii="宋体" w:hAnsi="宋体" w:cs="宋体"/>
                <w:kern w:val="0"/>
                <w:szCs w:val="21"/>
              </w:rPr>
              <w:t>营业收入（Y）</w:t>
            </w:r>
          </w:p>
        </w:tc>
        <w:tc>
          <w:tcPr>
            <w:tcW w:w="1091" w:type="dxa"/>
            <w:tcBorders>
              <w:top w:val="nil"/>
              <w:left w:val="nil"/>
              <w:bottom w:val="single" w:color="auto" w:sz="4" w:space="0"/>
              <w:right w:val="single" w:color="auto" w:sz="4" w:space="0"/>
            </w:tcBorders>
            <w:vAlign w:val="center"/>
          </w:tcPr>
          <w:p w14:paraId="22989FC7">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2505AC5E">
            <w:pPr>
              <w:widowControl/>
              <w:wordWrap w:val="0"/>
              <w:jc w:val="left"/>
              <w:rPr>
                <w:rFonts w:ascii="宋体" w:hAnsi="宋体" w:cs="宋体"/>
                <w:kern w:val="0"/>
                <w:szCs w:val="21"/>
              </w:rPr>
            </w:pPr>
            <w:r>
              <w:rPr>
                <w:rFonts w:hint="eastAsia" w:ascii="宋体" w:hAnsi="宋体" w:cs="宋体"/>
                <w:kern w:val="0"/>
                <w:szCs w:val="21"/>
              </w:rPr>
              <w:t>1000≤Y＜5000</w:t>
            </w:r>
          </w:p>
        </w:tc>
        <w:tc>
          <w:tcPr>
            <w:tcW w:w="1720" w:type="dxa"/>
            <w:tcBorders>
              <w:top w:val="nil"/>
              <w:left w:val="nil"/>
              <w:bottom w:val="single" w:color="auto" w:sz="4" w:space="0"/>
              <w:right w:val="single" w:color="auto" w:sz="4" w:space="0"/>
            </w:tcBorders>
            <w:vAlign w:val="center"/>
          </w:tcPr>
          <w:p w14:paraId="62904FF6">
            <w:pPr>
              <w:widowControl/>
              <w:wordWrap w:val="0"/>
              <w:jc w:val="left"/>
              <w:rPr>
                <w:rFonts w:ascii="宋体" w:hAnsi="宋体" w:cs="宋体"/>
                <w:kern w:val="0"/>
                <w:szCs w:val="21"/>
              </w:rPr>
            </w:pPr>
            <w:r>
              <w:rPr>
                <w:rFonts w:hint="eastAsia" w:ascii="宋体" w:hAnsi="宋体" w:cs="宋体"/>
                <w:kern w:val="0"/>
                <w:szCs w:val="21"/>
              </w:rPr>
              <w:t>500≤Y＜1000</w:t>
            </w:r>
          </w:p>
        </w:tc>
        <w:tc>
          <w:tcPr>
            <w:tcW w:w="1105" w:type="dxa"/>
            <w:tcBorders>
              <w:top w:val="nil"/>
              <w:left w:val="nil"/>
              <w:bottom w:val="single" w:color="auto" w:sz="4" w:space="0"/>
              <w:right w:val="single" w:color="auto" w:sz="4" w:space="0"/>
            </w:tcBorders>
            <w:vAlign w:val="center"/>
          </w:tcPr>
          <w:p w14:paraId="718412B0">
            <w:pPr>
              <w:widowControl/>
              <w:wordWrap w:val="0"/>
              <w:jc w:val="left"/>
              <w:rPr>
                <w:rFonts w:ascii="宋体" w:hAnsi="宋体" w:cs="宋体"/>
                <w:kern w:val="0"/>
                <w:szCs w:val="21"/>
              </w:rPr>
            </w:pPr>
            <w:r>
              <w:rPr>
                <w:rFonts w:hint="eastAsia" w:ascii="宋体" w:hAnsi="宋体" w:cs="宋体"/>
                <w:kern w:val="0"/>
                <w:szCs w:val="21"/>
              </w:rPr>
              <w:t>Y＜500</w:t>
            </w:r>
          </w:p>
        </w:tc>
      </w:tr>
      <w:tr w14:paraId="4C021C9F">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241A2ADB">
            <w:pPr>
              <w:widowControl/>
              <w:wordWrap w:val="0"/>
              <w:jc w:val="center"/>
              <w:rPr>
                <w:rFonts w:ascii="宋体" w:hAnsi="宋体" w:cs="宋体"/>
                <w:b/>
                <w:bCs/>
                <w:kern w:val="0"/>
                <w:szCs w:val="21"/>
              </w:rPr>
            </w:pPr>
            <w:r>
              <w:rPr>
                <w:rFonts w:hint="eastAsia" w:ascii="宋体" w:hAnsi="宋体" w:cs="宋体"/>
                <w:b/>
                <w:bCs/>
                <w:kern w:val="0"/>
                <w:szCs w:val="21"/>
              </w:rPr>
              <w:t>租赁和商务服务业</w:t>
            </w:r>
          </w:p>
        </w:tc>
        <w:tc>
          <w:tcPr>
            <w:tcW w:w="1653" w:type="dxa"/>
            <w:tcBorders>
              <w:top w:val="nil"/>
              <w:left w:val="nil"/>
              <w:bottom w:val="single" w:color="auto" w:sz="4" w:space="0"/>
              <w:right w:val="single" w:color="auto" w:sz="4" w:space="0"/>
            </w:tcBorders>
            <w:vAlign w:val="center"/>
          </w:tcPr>
          <w:p w14:paraId="048F30C0">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3247EA60">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21B116D5">
            <w:pPr>
              <w:widowControl/>
              <w:wordWrap w:val="0"/>
              <w:jc w:val="left"/>
              <w:rPr>
                <w:rFonts w:ascii="宋体" w:hAnsi="宋体" w:cs="宋体"/>
                <w:kern w:val="0"/>
                <w:szCs w:val="21"/>
              </w:rPr>
            </w:pPr>
            <w:r>
              <w:rPr>
                <w:rFonts w:hint="eastAsia" w:ascii="宋体" w:hAnsi="宋体" w:cs="宋体"/>
                <w:kern w:val="0"/>
                <w:szCs w:val="21"/>
              </w:rPr>
              <w:t>100≤X＜300</w:t>
            </w:r>
          </w:p>
        </w:tc>
        <w:tc>
          <w:tcPr>
            <w:tcW w:w="1720" w:type="dxa"/>
            <w:tcBorders>
              <w:top w:val="nil"/>
              <w:left w:val="nil"/>
              <w:bottom w:val="single" w:color="auto" w:sz="4" w:space="0"/>
              <w:right w:val="single" w:color="auto" w:sz="4" w:space="0"/>
            </w:tcBorders>
            <w:vAlign w:val="center"/>
          </w:tcPr>
          <w:p w14:paraId="24F6F7A4">
            <w:pPr>
              <w:widowControl/>
              <w:wordWrap w:val="0"/>
              <w:jc w:val="left"/>
              <w:rPr>
                <w:rFonts w:ascii="宋体" w:hAnsi="宋体" w:cs="宋体"/>
                <w:kern w:val="0"/>
                <w:szCs w:val="21"/>
              </w:rPr>
            </w:pPr>
            <w:r>
              <w:rPr>
                <w:rFonts w:hint="eastAsia" w:ascii="宋体" w:hAnsi="宋体" w:cs="宋体"/>
                <w:kern w:val="0"/>
                <w:szCs w:val="21"/>
              </w:rPr>
              <w:t>10≤X＜100</w:t>
            </w:r>
          </w:p>
        </w:tc>
        <w:tc>
          <w:tcPr>
            <w:tcW w:w="1105" w:type="dxa"/>
            <w:tcBorders>
              <w:top w:val="nil"/>
              <w:left w:val="nil"/>
              <w:bottom w:val="single" w:color="auto" w:sz="4" w:space="0"/>
              <w:right w:val="single" w:color="auto" w:sz="4" w:space="0"/>
            </w:tcBorders>
            <w:vAlign w:val="center"/>
          </w:tcPr>
          <w:p w14:paraId="3BADC57B">
            <w:pPr>
              <w:widowControl/>
              <w:wordWrap w:val="0"/>
              <w:jc w:val="left"/>
              <w:rPr>
                <w:rFonts w:ascii="宋体" w:hAnsi="宋体" w:cs="宋体"/>
                <w:kern w:val="0"/>
                <w:szCs w:val="21"/>
              </w:rPr>
            </w:pPr>
            <w:r>
              <w:rPr>
                <w:rFonts w:hint="eastAsia" w:ascii="宋体" w:hAnsi="宋体" w:cs="宋体"/>
                <w:kern w:val="0"/>
                <w:szCs w:val="21"/>
              </w:rPr>
              <w:t>X＜10</w:t>
            </w:r>
          </w:p>
        </w:tc>
      </w:tr>
      <w:tr w14:paraId="523B7771">
        <w:tblPrEx>
          <w:tblCellMar>
            <w:top w:w="0" w:type="dxa"/>
            <w:left w:w="108" w:type="dxa"/>
            <w:bottom w:w="0" w:type="dxa"/>
            <w:right w:w="108" w:type="dxa"/>
          </w:tblCellMar>
        </w:tblPrEx>
        <w:trPr>
          <w:trHeight w:val="90" w:hRule="atLeast"/>
        </w:trPr>
        <w:tc>
          <w:tcPr>
            <w:tcW w:w="2033" w:type="dxa"/>
            <w:vMerge w:val="continue"/>
            <w:tcBorders>
              <w:top w:val="nil"/>
              <w:left w:val="single" w:color="auto" w:sz="4" w:space="0"/>
              <w:bottom w:val="single" w:color="auto" w:sz="4" w:space="0"/>
              <w:right w:val="single" w:color="auto" w:sz="4" w:space="0"/>
            </w:tcBorders>
            <w:vAlign w:val="center"/>
          </w:tcPr>
          <w:p w14:paraId="233F482E">
            <w:pPr>
              <w:widowControl/>
              <w:wordWrap w:val="0"/>
              <w:jc w:val="left"/>
              <w:rPr>
                <w:rFonts w:ascii="宋体" w:hAnsi="宋体" w:cs="宋体"/>
                <w:b/>
                <w:bCs/>
                <w:kern w:val="0"/>
                <w:szCs w:val="21"/>
              </w:rPr>
            </w:pPr>
          </w:p>
        </w:tc>
        <w:tc>
          <w:tcPr>
            <w:tcW w:w="1653" w:type="dxa"/>
            <w:tcBorders>
              <w:top w:val="nil"/>
              <w:left w:val="nil"/>
              <w:bottom w:val="single" w:color="auto" w:sz="4" w:space="0"/>
              <w:right w:val="single" w:color="auto" w:sz="4" w:space="0"/>
            </w:tcBorders>
            <w:vAlign w:val="center"/>
          </w:tcPr>
          <w:p w14:paraId="52008F85">
            <w:pPr>
              <w:widowControl/>
              <w:wordWrap w:val="0"/>
              <w:jc w:val="left"/>
              <w:rPr>
                <w:rFonts w:ascii="宋体" w:hAnsi="宋体" w:cs="宋体"/>
                <w:kern w:val="0"/>
                <w:szCs w:val="21"/>
              </w:rPr>
            </w:pPr>
            <w:r>
              <w:rPr>
                <w:rFonts w:hint="eastAsia" w:ascii="宋体" w:hAnsi="宋体" w:cs="宋体"/>
                <w:kern w:val="0"/>
                <w:szCs w:val="21"/>
              </w:rPr>
              <w:t>资产总额（Z）</w:t>
            </w:r>
          </w:p>
        </w:tc>
        <w:tc>
          <w:tcPr>
            <w:tcW w:w="1091" w:type="dxa"/>
            <w:tcBorders>
              <w:top w:val="nil"/>
              <w:left w:val="nil"/>
              <w:bottom w:val="single" w:color="auto" w:sz="4" w:space="0"/>
              <w:right w:val="single" w:color="auto" w:sz="4" w:space="0"/>
            </w:tcBorders>
            <w:vAlign w:val="center"/>
          </w:tcPr>
          <w:p w14:paraId="184B5731">
            <w:pPr>
              <w:widowControl/>
              <w:wordWrap w:val="0"/>
              <w:jc w:val="left"/>
              <w:rPr>
                <w:rFonts w:ascii="宋体" w:hAnsi="宋体" w:cs="宋体"/>
                <w:kern w:val="0"/>
                <w:szCs w:val="21"/>
              </w:rPr>
            </w:pPr>
            <w:r>
              <w:rPr>
                <w:rFonts w:hint="eastAsia" w:ascii="宋体" w:hAnsi="宋体" w:cs="宋体"/>
                <w:kern w:val="0"/>
                <w:szCs w:val="21"/>
              </w:rPr>
              <w:t>万元</w:t>
            </w:r>
          </w:p>
        </w:tc>
        <w:tc>
          <w:tcPr>
            <w:tcW w:w="1935" w:type="dxa"/>
            <w:tcBorders>
              <w:top w:val="nil"/>
              <w:left w:val="nil"/>
              <w:bottom w:val="single" w:color="auto" w:sz="4" w:space="0"/>
              <w:right w:val="single" w:color="auto" w:sz="4" w:space="0"/>
            </w:tcBorders>
            <w:vAlign w:val="center"/>
          </w:tcPr>
          <w:p w14:paraId="6990ECB1">
            <w:pPr>
              <w:widowControl/>
              <w:wordWrap w:val="0"/>
              <w:jc w:val="left"/>
              <w:rPr>
                <w:rFonts w:ascii="宋体" w:hAnsi="宋体" w:cs="宋体"/>
                <w:kern w:val="0"/>
                <w:szCs w:val="21"/>
              </w:rPr>
            </w:pPr>
            <w:r>
              <w:rPr>
                <w:rFonts w:hint="eastAsia" w:ascii="宋体" w:hAnsi="宋体" w:cs="宋体"/>
                <w:kern w:val="0"/>
                <w:szCs w:val="21"/>
              </w:rPr>
              <w:t>8000≤Z＜120000</w:t>
            </w:r>
          </w:p>
        </w:tc>
        <w:tc>
          <w:tcPr>
            <w:tcW w:w="1720" w:type="dxa"/>
            <w:tcBorders>
              <w:top w:val="nil"/>
              <w:left w:val="nil"/>
              <w:bottom w:val="single" w:color="auto" w:sz="4" w:space="0"/>
              <w:right w:val="single" w:color="auto" w:sz="4" w:space="0"/>
            </w:tcBorders>
            <w:vAlign w:val="center"/>
          </w:tcPr>
          <w:p w14:paraId="13827690">
            <w:pPr>
              <w:widowControl/>
              <w:wordWrap w:val="0"/>
              <w:jc w:val="left"/>
              <w:rPr>
                <w:rFonts w:ascii="宋体" w:hAnsi="宋体" w:cs="宋体"/>
                <w:kern w:val="0"/>
                <w:szCs w:val="21"/>
              </w:rPr>
            </w:pPr>
            <w:r>
              <w:rPr>
                <w:rFonts w:hint="eastAsia" w:ascii="宋体" w:hAnsi="宋体" w:cs="宋体"/>
                <w:kern w:val="0"/>
                <w:szCs w:val="21"/>
              </w:rPr>
              <w:t>100≤Z＜8000</w:t>
            </w:r>
          </w:p>
        </w:tc>
        <w:tc>
          <w:tcPr>
            <w:tcW w:w="1105" w:type="dxa"/>
            <w:tcBorders>
              <w:top w:val="nil"/>
              <w:left w:val="nil"/>
              <w:bottom w:val="single" w:color="auto" w:sz="4" w:space="0"/>
              <w:right w:val="single" w:color="auto" w:sz="4" w:space="0"/>
            </w:tcBorders>
            <w:vAlign w:val="center"/>
          </w:tcPr>
          <w:p w14:paraId="69E41E4C">
            <w:pPr>
              <w:widowControl/>
              <w:wordWrap w:val="0"/>
              <w:jc w:val="left"/>
              <w:rPr>
                <w:rFonts w:ascii="宋体" w:hAnsi="宋体" w:cs="宋体"/>
                <w:kern w:val="0"/>
                <w:szCs w:val="21"/>
              </w:rPr>
            </w:pPr>
            <w:r>
              <w:rPr>
                <w:rFonts w:hint="eastAsia" w:ascii="宋体" w:hAnsi="宋体" w:cs="宋体"/>
                <w:kern w:val="0"/>
                <w:szCs w:val="21"/>
              </w:rPr>
              <w:t>Y＜100</w:t>
            </w:r>
          </w:p>
        </w:tc>
      </w:tr>
      <w:tr w14:paraId="16838D13">
        <w:tblPrEx>
          <w:tblCellMar>
            <w:top w:w="0" w:type="dxa"/>
            <w:left w:w="108" w:type="dxa"/>
            <w:bottom w:w="0" w:type="dxa"/>
            <w:right w:w="108" w:type="dxa"/>
          </w:tblCellMar>
        </w:tblPrEx>
        <w:trPr>
          <w:trHeight w:val="225" w:hRule="atLeast"/>
        </w:trPr>
        <w:tc>
          <w:tcPr>
            <w:tcW w:w="2033" w:type="dxa"/>
            <w:tcBorders>
              <w:top w:val="nil"/>
              <w:left w:val="single" w:color="auto" w:sz="4" w:space="0"/>
              <w:bottom w:val="single" w:color="auto" w:sz="4" w:space="0"/>
              <w:right w:val="single" w:color="auto" w:sz="4" w:space="0"/>
            </w:tcBorders>
            <w:vAlign w:val="bottom"/>
          </w:tcPr>
          <w:p w14:paraId="1F5BCC57">
            <w:pPr>
              <w:widowControl/>
              <w:wordWrap w:val="0"/>
              <w:jc w:val="center"/>
              <w:rPr>
                <w:rFonts w:ascii="宋体" w:hAnsi="宋体" w:cs="宋体"/>
                <w:b/>
                <w:bCs/>
                <w:kern w:val="0"/>
                <w:szCs w:val="21"/>
              </w:rPr>
            </w:pPr>
            <w:r>
              <w:rPr>
                <w:rFonts w:hint="eastAsia" w:ascii="宋体" w:hAnsi="宋体" w:cs="宋体"/>
                <w:b/>
                <w:bCs/>
                <w:kern w:val="0"/>
                <w:szCs w:val="21"/>
              </w:rPr>
              <w:t>其他未列明行业</w:t>
            </w:r>
          </w:p>
        </w:tc>
        <w:tc>
          <w:tcPr>
            <w:tcW w:w="1653" w:type="dxa"/>
            <w:tcBorders>
              <w:top w:val="nil"/>
              <w:left w:val="nil"/>
              <w:bottom w:val="single" w:color="auto" w:sz="4" w:space="0"/>
              <w:right w:val="single" w:color="auto" w:sz="4" w:space="0"/>
            </w:tcBorders>
            <w:vAlign w:val="center"/>
          </w:tcPr>
          <w:p w14:paraId="464903DF">
            <w:pPr>
              <w:widowControl/>
              <w:wordWrap w:val="0"/>
              <w:jc w:val="left"/>
              <w:rPr>
                <w:rFonts w:ascii="宋体" w:hAnsi="宋体" w:cs="宋体"/>
                <w:kern w:val="0"/>
                <w:szCs w:val="21"/>
              </w:rPr>
            </w:pPr>
            <w:r>
              <w:rPr>
                <w:rFonts w:hint="eastAsia" w:ascii="宋体" w:hAnsi="宋体" w:cs="宋体"/>
                <w:kern w:val="0"/>
                <w:szCs w:val="21"/>
              </w:rPr>
              <w:t>从业人员（X）</w:t>
            </w:r>
          </w:p>
        </w:tc>
        <w:tc>
          <w:tcPr>
            <w:tcW w:w="1091" w:type="dxa"/>
            <w:tcBorders>
              <w:top w:val="nil"/>
              <w:left w:val="nil"/>
              <w:bottom w:val="single" w:color="auto" w:sz="4" w:space="0"/>
              <w:right w:val="single" w:color="auto" w:sz="4" w:space="0"/>
            </w:tcBorders>
            <w:vAlign w:val="center"/>
          </w:tcPr>
          <w:p w14:paraId="38610FFC">
            <w:pPr>
              <w:widowControl/>
              <w:wordWrap w:val="0"/>
              <w:jc w:val="left"/>
              <w:rPr>
                <w:rFonts w:ascii="宋体" w:hAnsi="宋体" w:cs="宋体"/>
                <w:kern w:val="0"/>
                <w:szCs w:val="21"/>
              </w:rPr>
            </w:pPr>
            <w:r>
              <w:rPr>
                <w:rFonts w:hint="eastAsia" w:ascii="宋体" w:hAnsi="宋体" w:cs="宋体"/>
                <w:kern w:val="0"/>
                <w:szCs w:val="21"/>
              </w:rPr>
              <w:t>人</w:t>
            </w:r>
          </w:p>
        </w:tc>
        <w:tc>
          <w:tcPr>
            <w:tcW w:w="1935" w:type="dxa"/>
            <w:tcBorders>
              <w:top w:val="nil"/>
              <w:left w:val="nil"/>
              <w:bottom w:val="single" w:color="auto" w:sz="4" w:space="0"/>
              <w:right w:val="single" w:color="auto" w:sz="4" w:space="0"/>
            </w:tcBorders>
            <w:vAlign w:val="center"/>
          </w:tcPr>
          <w:p w14:paraId="2EFF2EB7">
            <w:pPr>
              <w:widowControl/>
              <w:wordWrap w:val="0"/>
              <w:jc w:val="left"/>
              <w:rPr>
                <w:rFonts w:ascii="宋体" w:hAnsi="宋体" w:cs="宋体"/>
                <w:kern w:val="0"/>
                <w:szCs w:val="21"/>
              </w:rPr>
            </w:pPr>
            <w:r>
              <w:rPr>
                <w:rFonts w:hint="eastAsia" w:ascii="宋体" w:hAnsi="宋体" w:cs="宋体"/>
                <w:kern w:val="0"/>
                <w:szCs w:val="21"/>
              </w:rPr>
              <w:t>100≤X＜300</w:t>
            </w:r>
          </w:p>
        </w:tc>
        <w:tc>
          <w:tcPr>
            <w:tcW w:w="1720" w:type="dxa"/>
            <w:tcBorders>
              <w:top w:val="nil"/>
              <w:left w:val="nil"/>
              <w:bottom w:val="single" w:color="auto" w:sz="4" w:space="0"/>
              <w:right w:val="single" w:color="auto" w:sz="4" w:space="0"/>
            </w:tcBorders>
            <w:vAlign w:val="center"/>
          </w:tcPr>
          <w:p w14:paraId="2A8C603B">
            <w:pPr>
              <w:widowControl/>
              <w:wordWrap w:val="0"/>
              <w:jc w:val="left"/>
              <w:rPr>
                <w:rFonts w:ascii="宋体" w:hAnsi="宋体" w:cs="宋体"/>
                <w:kern w:val="0"/>
                <w:szCs w:val="21"/>
              </w:rPr>
            </w:pPr>
            <w:r>
              <w:rPr>
                <w:rFonts w:hint="eastAsia" w:ascii="宋体" w:hAnsi="宋体" w:cs="宋体"/>
                <w:kern w:val="0"/>
                <w:szCs w:val="21"/>
              </w:rPr>
              <w:t>10≤X＜100</w:t>
            </w:r>
          </w:p>
        </w:tc>
        <w:tc>
          <w:tcPr>
            <w:tcW w:w="1105" w:type="dxa"/>
            <w:tcBorders>
              <w:top w:val="nil"/>
              <w:left w:val="nil"/>
              <w:bottom w:val="single" w:color="auto" w:sz="4" w:space="0"/>
              <w:right w:val="single" w:color="auto" w:sz="4" w:space="0"/>
            </w:tcBorders>
            <w:vAlign w:val="center"/>
          </w:tcPr>
          <w:p w14:paraId="7941E5C6">
            <w:pPr>
              <w:widowControl/>
              <w:wordWrap w:val="0"/>
              <w:jc w:val="left"/>
              <w:rPr>
                <w:rFonts w:ascii="宋体" w:hAnsi="宋体" w:cs="宋体"/>
                <w:kern w:val="0"/>
                <w:szCs w:val="21"/>
              </w:rPr>
            </w:pPr>
            <w:r>
              <w:rPr>
                <w:rFonts w:hint="eastAsia" w:ascii="宋体" w:hAnsi="宋体" w:cs="宋体"/>
                <w:kern w:val="0"/>
                <w:szCs w:val="21"/>
              </w:rPr>
              <w:t>X＜10</w:t>
            </w:r>
          </w:p>
        </w:tc>
      </w:tr>
    </w:tbl>
    <w:p w14:paraId="159A24DA">
      <w:pPr>
        <w:wordWrap w:val="0"/>
        <w:spacing w:line="360" w:lineRule="auto"/>
        <w:ind w:firstLine="525" w:firstLineChars="250"/>
        <w:rPr>
          <w:rFonts w:ascii="宋体" w:hAnsi="宋体" w:cs="宋体"/>
          <w:szCs w:val="21"/>
        </w:rPr>
      </w:pPr>
      <w:r>
        <w:rPr>
          <w:rFonts w:hint="eastAsia" w:ascii="宋体" w:hAnsi="宋体" w:cs="宋体"/>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6AD98ABE">
      <w:pPr>
        <w:spacing w:line="360" w:lineRule="auto"/>
        <w:ind w:firstLine="525" w:firstLineChars="250"/>
        <w:rPr>
          <w:rFonts w:ascii="仿宋_GB2312" w:hAnsi="仿宋" w:eastAsia="仿宋_GB2312"/>
          <w:szCs w:val="21"/>
        </w:rPr>
      </w:pPr>
    </w:p>
    <w:p w14:paraId="50CA98B0">
      <w:pPr>
        <w:spacing w:line="360" w:lineRule="auto"/>
        <w:jc w:val="center"/>
        <w:outlineLvl w:val="0"/>
        <w:rPr>
          <w:b/>
          <w:sz w:val="36"/>
          <w:szCs w:val="20"/>
        </w:rPr>
        <w:sectPr>
          <w:footerReference r:id="rId10" w:type="default"/>
          <w:pgSz w:w="11906" w:h="16838"/>
          <w:pgMar w:top="1134" w:right="1474" w:bottom="1134" w:left="1474" w:header="851" w:footer="851" w:gutter="0"/>
          <w:cols w:space="720" w:num="1"/>
          <w:docGrid w:linePitch="312" w:charSpace="0"/>
        </w:sectPr>
      </w:pPr>
    </w:p>
    <w:bookmarkEnd w:id="39"/>
    <w:bookmarkEnd w:id="40"/>
    <w:p w14:paraId="77010577">
      <w:pPr>
        <w:pStyle w:val="4"/>
        <w:keepNext w:val="0"/>
        <w:keepLines w:val="0"/>
        <w:jc w:val="center"/>
      </w:pPr>
      <w:bookmarkStart w:id="46" w:name="_Toc16535"/>
      <w:bookmarkStart w:id="47" w:name="_Toc28542"/>
      <w:r>
        <w:rPr>
          <w:rFonts w:hint="eastAsia"/>
        </w:rPr>
        <w:t>第三章投标人须知</w:t>
      </w:r>
      <w:bookmarkEnd w:id="46"/>
      <w:bookmarkEnd w:id="47"/>
    </w:p>
    <w:p w14:paraId="3579D90B">
      <w:pPr>
        <w:jc w:val="center"/>
        <w:rPr>
          <w:sz w:val="36"/>
          <w:szCs w:val="36"/>
        </w:rPr>
      </w:pPr>
      <w:bookmarkStart w:id="48" w:name="_Toc254970667"/>
      <w:bookmarkStart w:id="49" w:name="_Toc254970526"/>
      <w:r>
        <w:rPr>
          <w:rFonts w:hint="eastAsia"/>
          <w:sz w:val="36"/>
          <w:szCs w:val="36"/>
        </w:rPr>
        <w:t>投标人须知前附表</w:t>
      </w:r>
      <w:bookmarkEnd w:id="48"/>
      <w:bookmarkEnd w:id="49"/>
    </w:p>
    <w:tbl>
      <w:tblPr>
        <w:tblStyle w:val="25"/>
        <w:tblW w:w="956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8"/>
        <w:gridCol w:w="8597"/>
      </w:tblGrid>
      <w:tr w14:paraId="24D920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2E888116">
            <w:pPr>
              <w:snapToGrid w:val="0"/>
              <w:spacing w:line="360" w:lineRule="auto"/>
              <w:jc w:val="center"/>
              <w:rPr>
                <w:rFonts w:ascii="宋体" w:hAnsi="宋体"/>
                <w:szCs w:val="21"/>
              </w:rPr>
            </w:pPr>
            <w:r>
              <w:rPr>
                <w:rFonts w:hint="eastAsia" w:ascii="宋体" w:hAnsi="宋体"/>
                <w:szCs w:val="21"/>
              </w:rPr>
              <w:t>条款号</w:t>
            </w:r>
          </w:p>
        </w:tc>
        <w:tc>
          <w:tcPr>
            <w:tcW w:w="8597" w:type="dxa"/>
            <w:tcBorders>
              <w:top w:val="single" w:color="auto" w:sz="4" w:space="0"/>
              <w:left w:val="single" w:color="auto" w:sz="4" w:space="0"/>
              <w:bottom w:val="single" w:color="auto" w:sz="4" w:space="0"/>
              <w:right w:val="single" w:color="auto" w:sz="4" w:space="0"/>
            </w:tcBorders>
            <w:vAlign w:val="center"/>
          </w:tcPr>
          <w:p w14:paraId="530D7ACC">
            <w:pPr>
              <w:snapToGrid w:val="0"/>
              <w:spacing w:line="360" w:lineRule="auto"/>
              <w:jc w:val="center"/>
              <w:rPr>
                <w:rFonts w:ascii="宋体" w:hAnsi="宋体"/>
                <w:szCs w:val="21"/>
              </w:rPr>
            </w:pPr>
            <w:r>
              <w:rPr>
                <w:rFonts w:hint="eastAsia" w:ascii="宋体" w:hAnsi="宋体"/>
                <w:szCs w:val="21"/>
              </w:rPr>
              <w:t>编列内容</w:t>
            </w:r>
          </w:p>
        </w:tc>
      </w:tr>
      <w:tr w14:paraId="643969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147BFF26">
            <w:pPr>
              <w:spacing w:line="400" w:lineRule="exact"/>
              <w:jc w:val="center"/>
              <w:rPr>
                <w:rFonts w:ascii="宋体" w:hAnsi="宋体"/>
                <w:szCs w:val="21"/>
              </w:rPr>
            </w:pPr>
            <w:r>
              <w:rPr>
                <w:rFonts w:hint="eastAsia" w:ascii="宋体" w:hAnsi="宋体"/>
                <w:szCs w:val="21"/>
              </w:rPr>
              <w:t>3</w:t>
            </w:r>
          </w:p>
        </w:tc>
        <w:tc>
          <w:tcPr>
            <w:tcW w:w="8597" w:type="dxa"/>
            <w:tcBorders>
              <w:top w:val="single" w:color="auto" w:sz="4" w:space="0"/>
              <w:left w:val="single" w:color="auto" w:sz="4" w:space="0"/>
              <w:bottom w:val="single" w:color="auto" w:sz="4" w:space="0"/>
              <w:right w:val="single" w:color="auto" w:sz="4" w:space="0"/>
            </w:tcBorders>
            <w:vAlign w:val="center"/>
          </w:tcPr>
          <w:p w14:paraId="5FBC43B9">
            <w:pPr>
              <w:snapToGrid w:val="0"/>
              <w:spacing w:line="360" w:lineRule="auto"/>
              <w:jc w:val="left"/>
              <w:rPr>
                <w:rFonts w:ascii="宋体" w:hAnsi="宋体"/>
                <w:szCs w:val="21"/>
              </w:rPr>
            </w:pPr>
            <w:r>
              <w:rPr>
                <w:rFonts w:hint="eastAsia" w:ascii="宋体" w:hAnsi="宋体"/>
                <w:szCs w:val="21"/>
              </w:rPr>
              <w:t>投标人的资格要求详见招标公告。</w:t>
            </w:r>
          </w:p>
        </w:tc>
      </w:tr>
      <w:tr w14:paraId="4E2BD9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22C79419">
            <w:pPr>
              <w:spacing w:line="360" w:lineRule="auto"/>
              <w:jc w:val="center"/>
              <w:rPr>
                <w:rFonts w:ascii="宋体" w:hAnsi="宋体"/>
                <w:szCs w:val="21"/>
              </w:rPr>
            </w:pPr>
            <w:bookmarkStart w:id="50" w:name="_9.2"/>
            <w:bookmarkEnd w:id="50"/>
            <w:bookmarkStart w:id="51" w:name="_8.1"/>
            <w:bookmarkEnd w:id="51"/>
            <w:bookmarkStart w:id="52" w:name="_5"/>
            <w:bookmarkEnd w:id="52"/>
            <w:r>
              <w:rPr>
                <w:rFonts w:hint="eastAsia" w:ascii="宋体" w:hAnsi="宋体"/>
                <w:szCs w:val="21"/>
              </w:rPr>
              <w:t>6.1</w:t>
            </w:r>
          </w:p>
        </w:tc>
        <w:tc>
          <w:tcPr>
            <w:tcW w:w="8597" w:type="dxa"/>
            <w:tcBorders>
              <w:top w:val="single" w:color="auto" w:sz="4" w:space="0"/>
              <w:left w:val="single" w:color="auto" w:sz="4" w:space="0"/>
              <w:bottom w:val="single" w:color="auto" w:sz="4" w:space="0"/>
              <w:right w:val="single" w:color="auto" w:sz="4" w:space="0"/>
            </w:tcBorders>
            <w:vAlign w:val="center"/>
          </w:tcPr>
          <w:p w14:paraId="0A986C48">
            <w:pPr>
              <w:pStyle w:val="10"/>
              <w:spacing w:line="360" w:lineRule="auto"/>
              <w:rPr>
                <w:rFonts w:ascii="宋体" w:hAnsi="宋体"/>
                <w:szCs w:val="21"/>
              </w:rPr>
            </w:pPr>
            <w:r>
              <w:rPr>
                <w:rFonts w:hint="eastAsia" w:ascii="宋体" w:hAnsi="宋体"/>
                <w:szCs w:val="21"/>
              </w:rPr>
              <w:t>本项目是否接受联合体投标：详见“招标公告”。</w:t>
            </w:r>
          </w:p>
        </w:tc>
      </w:tr>
      <w:tr w14:paraId="72D0C2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0AFDB79">
            <w:pPr>
              <w:spacing w:line="360" w:lineRule="auto"/>
              <w:jc w:val="center"/>
              <w:rPr>
                <w:rFonts w:ascii="宋体" w:hAnsi="宋体"/>
                <w:szCs w:val="21"/>
              </w:rPr>
            </w:pPr>
            <w:r>
              <w:rPr>
                <w:rFonts w:hint="eastAsia" w:ascii="宋体" w:hAnsi="宋体"/>
                <w:szCs w:val="21"/>
              </w:rPr>
              <w:t>6.2</w:t>
            </w:r>
          </w:p>
        </w:tc>
        <w:tc>
          <w:tcPr>
            <w:tcW w:w="8597" w:type="dxa"/>
            <w:tcBorders>
              <w:top w:val="single" w:color="auto" w:sz="4" w:space="0"/>
              <w:left w:val="single" w:color="auto" w:sz="4" w:space="0"/>
              <w:bottom w:val="single" w:color="auto" w:sz="4" w:space="0"/>
              <w:right w:val="single" w:color="auto" w:sz="4" w:space="0"/>
            </w:tcBorders>
            <w:vAlign w:val="center"/>
          </w:tcPr>
          <w:p w14:paraId="7F54FB73">
            <w:pPr>
              <w:pStyle w:val="10"/>
              <w:spacing w:line="360" w:lineRule="auto"/>
              <w:rPr>
                <w:rFonts w:ascii="宋体" w:hAnsi="宋体"/>
                <w:szCs w:val="21"/>
              </w:rPr>
            </w:pPr>
            <w:bookmarkStart w:id="53" w:name="_Hlk54105293"/>
            <w:r>
              <w:rPr>
                <w:rFonts w:hint="eastAsia" w:ascii="宋体" w:hAnsi="宋体" w:cs="宋体"/>
                <w:szCs w:val="21"/>
              </w:rPr>
              <w:t>如接受联合体投标，</w:t>
            </w:r>
            <w:bookmarkEnd w:id="53"/>
            <w:r>
              <w:rPr>
                <w:rFonts w:hint="eastAsia" w:ascii="宋体" w:hAnsi="宋体" w:cs="宋体"/>
                <w:szCs w:val="21"/>
              </w:rPr>
              <w:t>联合体投标要求如下：/</w:t>
            </w:r>
          </w:p>
        </w:tc>
      </w:tr>
      <w:tr w14:paraId="6A7D0E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5B4523F8">
            <w:pPr>
              <w:spacing w:line="360" w:lineRule="auto"/>
              <w:jc w:val="center"/>
              <w:rPr>
                <w:rFonts w:ascii="宋体" w:hAnsi="宋体"/>
                <w:szCs w:val="21"/>
              </w:rPr>
            </w:pPr>
            <w:r>
              <w:rPr>
                <w:rFonts w:hint="eastAsia" w:ascii="宋体" w:hAnsi="宋体"/>
                <w:szCs w:val="21"/>
              </w:rPr>
              <w:t>7.1</w:t>
            </w:r>
          </w:p>
        </w:tc>
        <w:tc>
          <w:tcPr>
            <w:tcW w:w="8597" w:type="dxa"/>
            <w:tcBorders>
              <w:top w:val="single" w:color="auto" w:sz="4" w:space="0"/>
              <w:left w:val="single" w:color="auto" w:sz="4" w:space="0"/>
              <w:bottom w:val="single" w:color="auto" w:sz="4" w:space="0"/>
              <w:right w:val="single" w:color="auto" w:sz="4" w:space="0"/>
            </w:tcBorders>
            <w:vAlign w:val="center"/>
          </w:tcPr>
          <w:p w14:paraId="413E6203">
            <w:pPr>
              <w:pStyle w:val="10"/>
              <w:spacing w:line="360" w:lineRule="auto"/>
              <w:rPr>
                <w:rFonts w:ascii="宋体" w:hAnsi="宋体"/>
                <w:szCs w:val="21"/>
                <w:u w:val="single"/>
              </w:rPr>
            </w:pPr>
            <w:r>
              <w:rPr>
                <w:rFonts w:hint="eastAsia" w:ascii="宋体" w:hAnsi="宋体"/>
                <w:szCs w:val="21"/>
              </w:rPr>
              <w:t>不允许分包</w:t>
            </w:r>
          </w:p>
        </w:tc>
      </w:tr>
      <w:tr w14:paraId="72EF98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vMerge w:val="restart"/>
            <w:tcBorders>
              <w:top w:val="single" w:color="auto" w:sz="4" w:space="0"/>
              <w:left w:val="single" w:color="auto" w:sz="4" w:space="0"/>
              <w:right w:val="single" w:color="auto" w:sz="4" w:space="0"/>
            </w:tcBorders>
            <w:vAlign w:val="center"/>
          </w:tcPr>
          <w:p w14:paraId="31F8573A">
            <w:pPr>
              <w:spacing w:line="360" w:lineRule="auto"/>
              <w:jc w:val="center"/>
              <w:rPr>
                <w:rFonts w:ascii="宋体" w:hAnsi="宋体"/>
                <w:szCs w:val="21"/>
              </w:rPr>
            </w:pPr>
            <w:r>
              <w:rPr>
                <w:rFonts w:hint="eastAsia" w:ascii="宋体" w:hAnsi="宋体"/>
                <w:szCs w:val="21"/>
              </w:rPr>
              <w:t>11.4</w:t>
            </w:r>
          </w:p>
        </w:tc>
        <w:tc>
          <w:tcPr>
            <w:tcW w:w="8597" w:type="dxa"/>
            <w:tcBorders>
              <w:top w:val="single" w:color="auto" w:sz="4" w:space="0"/>
              <w:left w:val="single" w:color="auto" w:sz="4" w:space="0"/>
              <w:bottom w:val="single" w:color="auto" w:sz="4" w:space="0"/>
              <w:right w:val="single" w:color="auto" w:sz="4" w:space="0"/>
            </w:tcBorders>
            <w:vAlign w:val="center"/>
          </w:tcPr>
          <w:p w14:paraId="4BC8C211">
            <w:pPr>
              <w:snapToGrid w:val="0"/>
              <w:spacing w:line="360" w:lineRule="auto"/>
              <w:rPr>
                <w:rFonts w:ascii="宋体" w:hAnsi="宋体"/>
                <w:szCs w:val="21"/>
              </w:rPr>
            </w:pPr>
            <w:r>
              <w:rPr>
                <w:rFonts w:hint="eastAsia" w:ascii="宋体" w:hAnsi="宋体"/>
                <w:szCs w:val="21"/>
              </w:rPr>
              <w:t>不组织现场考察</w:t>
            </w:r>
          </w:p>
        </w:tc>
      </w:tr>
      <w:tr w14:paraId="0D99D9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vMerge w:val="continue"/>
            <w:tcBorders>
              <w:left w:val="single" w:color="auto" w:sz="4" w:space="0"/>
              <w:bottom w:val="single" w:color="auto" w:sz="4" w:space="0"/>
              <w:right w:val="single" w:color="auto" w:sz="4" w:space="0"/>
            </w:tcBorders>
            <w:vAlign w:val="center"/>
          </w:tcPr>
          <w:p w14:paraId="233F7D0B">
            <w:pPr>
              <w:spacing w:line="360" w:lineRule="auto"/>
              <w:jc w:val="center"/>
              <w:rPr>
                <w:rFonts w:ascii="宋体" w:hAnsi="宋体"/>
                <w:szCs w:val="21"/>
              </w:rPr>
            </w:pPr>
          </w:p>
        </w:tc>
        <w:tc>
          <w:tcPr>
            <w:tcW w:w="8597" w:type="dxa"/>
            <w:tcBorders>
              <w:top w:val="single" w:color="auto" w:sz="4" w:space="0"/>
              <w:left w:val="single" w:color="auto" w:sz="4" w:space="0"/>
              <w:bottom w:val="single" w:color="auto" w:sz="4" w:space="0"/>
              <w:right w:val="single" w:color="auto" w:sz="4" w:space="0"/>
            </w:tcBorders>
            <w:vAlign w:val="center"/>
          </w:tcPr>
          <w:p w14:paraId="35AF43DE">
            <w:pPr>
              <w:snapToGrid w:val="0"/>
              <w:spacing w:line="360" w:lineRule="auto"/>
              <w:rPr>
                <w:rFonts w:ascii="宋体" w:hAnsi="宋体"/>
                <w:szCs w:val="21"/>
              </w:rPr>
            </w:pPr>
            <w:r>
              <w:rPr>
                <w:rFonts w:hint="eastAsia" w:ascii="宋体" w:hAnsi="宋体" w:cs="宋体"/>
                <w:szCs w:val="21"/>
              </w:rPr>
              <w:t>不组织召开开标前答疑会</w:t>
            </w:r>
          </w:p>
        </w:tc>
      </w:tr>
      <w:tr w14:paraId="02FAAE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vMerge w:val="restart"/>
            <w:tcBorders>
              <w:top w:val="single" w:color="auto" w:sz="4" w:space="0"/>
              <w:left w:val="single" w:color="auto" w:sz="4" w:space="0"/>
              <w:right w:val="single" w:color="auto" w:sz="4" w:space="0"/>
            </w:tcBorders>
            <w:vAlign w:val="center"/>
          </w:tcPr>
          <w:p w14:paraId="2E3D8183">
            <w:pPr>
              <w:spacing w:line="360" w:lineRule="auto"/>
              <w:jc w:val="center"/>
              <w:rPr>
                <w:rFonts w:ascii="宋体" w:hAnsi="宋体"/>
                <w:szCs w:val="21"/>
              </w:rPr>
            </w:pPr>
            <w:bookmarkStart w:id="54" w:name="_13.1"/>
            <w:bookmarkEnd w:id="54"/>
            <w:r>
              <w:rPr>
                <w:rFonts w:hint="eastAsia" w:ascii="宋体" w:hAnsi="宋体"/>
                <w:szCs w:val="21"/>
              </w:rPr>
              <w:t>13.</w:t>
            </w:r>
            <w:bookmarkStart w:id="55" w:name="_Hlt19632543"/>
            <w:r>
              <w:rPr>
                <w:rFonts w:hint="eastAsia" w:ascii="宋体" w:hAnsi="宋体"/>
                <w:szCs w:val="21"/>
              </w:rPr>
              <w:t>1</w:t>
            </w:r>
            <w:bookmarkEnd w:id="55"/>
          </w:p>
        </w:tc>
        <w:tc>
          <w:tcPr>
            <w:tcW w:w="8597" w:type="dxa"/>
            <w:tcBorders>
              <w:top w:val="single" w:color="auto" w:sz="4" w:space="0"/>
              <w:left w:val="single" w:color="auto" w:sz="4" w:space="0"/>
              <w:bottom w:val="single" w:color="auto" w:sz="4" w:space="0"/>
              <w:right w:val="single" w:color="auto" w:sz="4" w:space="0"/>
            </w:tcBorders>
            <w:vAlign w:val="center"/>
          </w:tcPr>
          <w:p w14:paraId="554F02C0">
            <w:pPr>
              <w:snapToGrid w:val="0"/>
              <w:spacing w:line="360" w:lineRule="auto"/>
              <w:jc w:val="left"/>
              <w:rPr>
                <w:rFonts w:ascii="宋体" w:hAnsi="宋体" w:cs="Courier New"/>
                <w:b/>
                <w:szCs w:val="21"/>
              </w:rPr>
            </w:pPr>
            <w:r>
              <w:rPr>
                <w:rFonts w:hint="eastAsia" w:ascii="宋体" w:hAnsi="宋体" w:cs="Courier New"/>
                <w:b/>
                <w:szCs w:val="21"/>
              </w:rPr>
              <w:t>报价文件：</w:t>
            </w:r>
          </w:p>
          <w:p w14:paraId="30425110">
            <w:pPr>
              <w:tabs>
                <w:tab w:val="left" w:pos="0"/>
              </w:tabs>
              <w:snapToGrid w:val="0"/>
              <w:spacing w:line="360" w:lineRule="auto"/>
              <w:ind w:left="425" w:leftChars="104" w:hanging="207" w:hangingChars="99"/>
              <w:jc w:val="left"/>
              <w:rPr>
                <w:rFonts w:ascii="宋体" w:hAnsi="宋体"/>
                <w:szCs w:val="21"/>
              </w:rPr>
            </w:pPr>
            <w:r>
              <w:rPr>
                <w:rFonts w:hint="eastAsia" w:ascii="宋体" w:hAnsi="宋体"/>
                <w:szCs w:val="21"/>
              </w:rPr>
              <w:t>1.投标函（格式后附）；</w:t>
            </w:r>
            <w:r>
              <w:rPr>
                <w:rFonts w:hint="eastAsia" w:ascii="宋体" w:hAnsi="宋体"/>
                <w:b/>
                <w:szCs w:val="21"/>
              </w:rPr>
              <w:t>（必须提供，否则作无效投标处理）</w:t>
            </w:r>
          </w:p>
          <w:p w14:paraId="355B72B5">
            <w:pPr>
              <w:tabs>
                <w:tab w:val="left" w:pos="0"/>
              </w:tabs>
              <w:snapToGrid w:val="0"/>
              <w:spacing w:line="360" w:lineRule="auto"/>
              <w:ind w:left="425" w:leftChars="104" w:hanging="207" w:hangingChars="99"/>
              <w:jc w:val="left"/>
              <w:rPr>
                <w:rFonts w:ascii="宋体" w:hAnsi="宋体"/>
                <w:szCs w:val="21"/>
              </w:rPr>
            </w:pPr>
            <w:r>
              <w:rPr>
                <w:rFonts w:hint="eastAsia" w:ascii="宋体" w:hAnsi="宋体"/>
                <w:szCs w:val="21"/>
              </w:rPr>
              <w:t>2.开标一览表（格式后附）； （</w:t>
            </w:r>
            <w:r>
              <w:rPr>
                <w:rFonts w:hint="eastAsia" w:ascii="宋体" w:hAnsi="宋体"/>
                <w:b/>
                <w:szCs w:val="21"/>
              </w:rPr>
              <w:t>必须提供，否则作无效投标处理</w:t>
            </w:r>
            <w:r>
              <w:rPr>
                <w:rFonts w:hint="eastAsia" w:ascii="宋体" w:hAnsi="宋体"/>
                <w:szCs w:val="21"/>
              </w:rPr>
              <w:t>）</w:t>
            </w:r>
          </w:p>
          <w:p w14:paraId="18C51201">
            <w:pPr>
              <w:tabs>
                <w:tab w:val="left" w:pos="0"/>
              </w:tabs>
              <w:snapToGrid w:val="0"/>
              <w:spacing w:line="360" w:lineRule="auto"/>
              <w:ind w:left="425" w:leftChars="104" w:hanging="207" w:hangingChars="99"/>
              <w:jc w:val="left"/>
              <w:rPr>
                <w:rFonts w:ascii="宋体" w:hAnsi="宋体"/>
                <w:szCs w:val="21"/>
              </w:rPr>
            </w:pPr>
            <w:r>
              <w:rPr>
                <w:rFonts w:hint="eastAsia" w:ascii="宋体" w:hAnsi="宋体"/>
                <w:szCs w:val="21"/>
              </w:rPr>
              <w:t>3.投标人针对报价需要说明的其他文件和说明（格式自拟）。</w:t>
            </w:r>
          </w:p>
          <w:p w14:paraId="46303177">
            <w:pPr>
              <w:snapToGrid w:val="0"/>
              <w:spacing w:line="360" w:lineRule="auto"/>
              <w:ind w:left="427" w:leftChars="104" w:hanging="209" w:hangingChars="99"/>
              <w:jc w:val="left"/>
              <w:rPr>
                <w:rFonts w:ascii="宋体" w:hAnsi="宋体"/>
                <w:szCs w:val="21"/>
              </w:rPr>
            </w:pPr>
            <w:r>
              <w:rPr>
                <w:rFonts w:hint="eastAsia" w:ascii="宋体" w:hAnsi="宋体"/>
                <w:b/>
                <w:bCs/>
                <w:szCs w:val="21"/>
              </w:rPr>
              <w:t>注：投标函、开标一览表必须由法定代表人或者委托代理人在规定签章处逐一签字并加盖投标人公章，否则</w:t>
            </w:r>
            <w:r>
              <w:rPr>
                <w:rFonts w:hint="eastAsia" w:ascii="宋体" w:hAnsi="宋体" w:cs="Courier New"/>
                <w:b/>
                <w:szCs w:val="21"/>
              </w:rPr>
              <w:t>作无效投标处理</w:t>
            </w:r>
            <w:r>
              <w:rPr>
                <w:rFonts w:hint="eastAsia" w:ascii="宋体" w:hAnsi="宋体"/>
                <w:b/>
                <w:bCs/>
                <w:szCs w:val="21"/>
              </w:rPr>
              <w:t>。</w:t>
            </w:r>
          </w:p>
        </w:tc>
      </w:tr>
      <w:tr w14:paraId="185589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vMerge w:val="continue"/>
            <w:tcBorders>
              <w:left w:val="single" w:color="auto" w:sz="4" w:space="0"/>
              <w:right w:val="single" w:color="auto" w:sz="4" w:space="0"/>
            </w:tcBorders>
            <w:vAlign w:val="center"/>
          </w:tcPr>
          <w:p w14:paraId="6BC30E28">
            <w:pPr>
              <w:spacing w:line="360" w:lineRule="auto"/>
              <w:rPr>
                <w:rFonts w:ascii="宋体" w:hAnsi="宋体"/>
                <w:szCs w:val="21"/>
              </w:rPr>
            </w:pPr>
            <w:bookmarkStart w:id="56" w:name="_13.2"/>
            <w:bookmarkEnd w:id="56"/>
          </w:p>
        </w:tc>
        <w:tc>
          <w:tcPr>
            <w:tcW w:w="8597" w:type="dxa"/>
            <w:tcBorders>
              <w:top w:val="single" w:color="auto" w:sz="4" w:space="0"/>
              <w:left w:val="single" w:color="auto" w:sz="4" w:space="0"/>
              <w:bottom w:val="single" w:color="auto" w:sz="4" w:space="0"/>
              <w:right w:val="single" w:color="auto" w:sz="4" w:space="0"/>
            </w:tcBorders>
            <w:vAlign w:val="center"/>
          </w:tcPr>
          <w:p w14:paraId="1F6208BF">
            <w:pPr>
              <w:snapToGrid w:val="0"/>
              <w:spacing w:line="360" w:lineRule="auto"/>
              <w:jc w:val="left"/>
              <w:rPr>
                <w:rFonts w:ascii="宋体" w:hAnsi="宋体" w:cs="Courier New"/>
                <w:b/>
                <w:szCs w:val="21"/>
              </w:rPr>
            </w:pPr>
            <w:r>
              <w:rPr>
                <w:rFonts w:hint="eastAsia" w:ascii="宋体" w:hAnsi="宋体" w:cs="Courier New"/>
                <w:b/>
                <w:szCs w:val="21"/>
              </w:rPr>
              <w:t>资格证明文件</w:t>
            </w:r>
          </w:p>
          <w:p w14:paraId="197DF08B">
            <w:pPr>
              <w:snapToGrid w:val="0"/>
              <w:spacing w:line="360" w:lineRule="auto"/>
              <w:ind w:firstLine="420" w:firstLineChars="200"/>
              <w:jc w:val="left"/>
              <w:rPr>
                <w:rFonts w:ascii="宋体" w:hAnsi="宋体"/>
                <w:szCs w:val="21"/>
              </w:rPr>
            </w:pPr>
            <w:r>
              <w:rPr>
                <w:rFonts w:ascii="宋体" w:hAnsi="宋体"/>
                <w:bCs/>
                <w:szCs w:val="21"/>
              </w:rPr>
              <w:t>1.</w:t>
            </w:r>
            <w:r>
              <w:rPr>
                <w:rFonts w:hint="eastAsia" w:ascii="宋体" w:hAnsi="宋体"/>
                <w:bCs/>
                <w:szCs w:val="21"/>
              </w:rPr>
              <w:t>投</w:t>
            </w:r>
            <w:r>
              <w:rPr>
                <w:rFonts w:hint="eastAsia" w:ascii="宋体" w:hAnsi="宋体"/>
                <w:szCs w:val="21"/>
              </w:rPr>
              <w:t>标人为法人或者其他组织的，提供营业执照等证明文件</w:t>
            </w:r>
            <w:r>
              <w:rPr>
                <w:rFonts w:hint="eastAsia" w:ascii="宋体" w:hAnsi="宋体" w:cs="宋体"/>
                <w:szCs w:val="21"/>
              </w:rPr>
              <w:t>（如营业执照或者事业单位法人证书或者</w:t>
            </w:r>
            <w:r>
              <w:rPr>
                <w:rStyle w:val="31"/>
                <w:color w:val="auto"/>
                <w:sz w:val="21"/>
                <w:szCs w:val="21"/>
              </w:rPr>
              <w:t>执业许可证</w:t>
            </w:r>
            <w:r>
              <w:rPr>
                <w:rFonts w:hint="eastAsia" w:ascii="宋体" w:hAnsi="宋体" w:cs="宋体"/>
                <w:szCs w:val="21"/>
              </w:rPr>
              <w:t>等）</w:t>
            </w:r>
            <w:r>
              <w:rPr>
                <w:rFonts w:hint="eastAsia" w:ascii="宋体" w:hAnsi="宋体"/>
                <w:szCs w:val="21"/>
              </w:rPr>
              <w:t>，投标人为自然人的，提供身份证</w:t>
            </w:r>
            <w:r>
              <w:rPr>
                <w:rFonts w:hint="eastAsia" w:ascii="宋体" w:hAnsi="宋体" w:cs="宋体"/>
                <w:szCs w:val="21"/>
              </w:rPr>
              <w:t>复印件</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52B3F3F3">
            <w:pPr>
              <w:snapToGrid w:val="0"/>
              <w:spacing w:line="360" w:lineRule="auto"/>
              <w:ind w:firstLine="420" w:firstLineChars="200"/>
              <w:jc w:val="left"/>
              <w:rPr>
                <w:rFonts w:ascii="宋体" w:hAnsi="宋体" w:cs="宋体"/>
                <w:szCs w:val="21"/>
              </w:rPr>
            </w:pPr>
            <w:r>
              <w:rPr>
                <w:rFonts w:ascii="宋体" w:hAnsi="宋体"/>
                <w:bCs/>
                <w:szCs w:val="21"/>
              </w:rPr>
              <w:t>2.</w:t>
            </w:r>
            <w:r>
              <w:rPr>
                <w:rFonts w:hint="eastAsia" w:ascii="宋体" w:hAnsi="宋体" w:cs="宋体"/>
                <w:bCs/>
                <w:szCs w:val="21"/>
              </w:rPr>
              <w:t>投标</w:t>
            </w:r>
            <w:r>
              <w:rPr>
                <w:rFonts w:hint="eastAsia" w:ascii="宋体" w:hAnsi="宋体" w:cs="宋体"/>
                <w:szCs w:val="21"/>
              </w:rPr>
              <w:t>人依法缴纳税收的相关材料</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53A9315B">
            <w:pPr>
              <w:snapToGrid w:val="0"/>
              <w:spacing w:line="360" w:lineRule="auto"/>
              <w:ind w:firstLine="420" w:firstLineChars="200"/>
              <w:jc w:val="left"/>
              <w:rPr>
                <w:rFonts w:ascii="宋体" w:hAnsi="宋体" w:cs="宋体"/>
                <w:szCs w:val="21"/>
              </w:rPr>
            </w:pPr>
            <w:r>
              <w:rPr>
                <w:rFonts w:hint="eastAsia" w:ascii="宋体" w:hAnsi="宋体" w:cs="宋体"/>
                <w:szCs w:val="21"/>
              </w:rPr>
              <w:t>【</w:t>
            </w:r>
            <w:r>
              <w:rPr>
                <w:rFonts w:hint="eastAsia" w:ascii="宋体" w:hAnsi="宋体" w:cs="宋体"/>
                <w:szCs w:val="21"/>
                <w:u w:val="single"/>
              </w:rPr>
              <w:t xml:space="preserve"> 2026 年 1 月 </w:t>
            </w:r>
            <w:r>
              <w:rPr>
                <w:rFonts w:hint="eastAsia" w:ascii="宋体" w:hAnsi="宋体" w:cs="宋体"/>
                <w:szCs w:val="21"/>
              </w:rPr>
              <w:t>以来</w:t>
            </w:r>
            <w:r>
              <w:rPr>
                <w:rFonts w:hint="eastAsia" w:ascii="宋体" w:hAnsi="宋体" w:cs="宋体"/>
                <w:szCs w:val="21"/>
                <w:lang w:val="en-US" w:eastAsia="zh-CN"/>
              </w:rPr>
              <w:t>任意</w:t>
            </w:r>
            <w:r>
              <w:rPr>
                <w:rFonts w:hint="eastAsia" w:ascii="宋体" w:hAnsi="宋体" w:cs="宋体"/>
                <w:szCs w:val="21"/>
                <w:u w:val="single"/>
              </w:rPr>
              <w:t xml:space="preserve"> </w:t>
            </w:r>
            <w:r>
              <w:rPr>
                <w:rFonts w:hint="eastAsia" w:ascii="宋体" w:hAnsi="宋体" w:cs="宋体"/>
                <w:szCs w:val="21"/>
                <w:u w:val="single"/>
                <w:lang w:val="en-US" w:eastAsia="zh-CN"/>
              </w:rPr>
              <w:t>1</w:t>
            </w:r>
            <w:r>
              <w:rPr>
                <w:rFonts w:hint="eastAsia" w:ascii="宋体" w:hAnsi="宋体" w:cs="宋体"/>
                <w:szCs w:val="21"/>
                <w:u w:val="single"/>
              </w:rPr>
              <w:t xml:space="preserve"> 个月 </w:t>
            </w:r>
            <w:r>
              <w:rPr>
                <w:rFonts w:hint="eastAsia" w:ascii="宋体" w:hAnsi="宋体" w:cs="宋体"/>
                <w:szCs w:val="21"/>
              </w:rPr>
              <w:t>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p>
          <w:p w14:paraId="45A3C90B">
            <w:pPr>
              <w:snapToGrid w:val="0"/>
              <w:spacing w:line="360" w:lineRule="auto"/>
              <w:ind w:firstLine="420" w:firstLineChars="200"/>
              <w:jc w:val="left"/>
              <w:rPr>
                <w:rFonts w:ascii="宋体" w:hAnsi="宋体" w:cs="宋体"/>
                <w:szCs w:val="21"/>
              </w:rPr>
            </w:pPr>
            <w:r>
              <w:rPr>
                <w:rFonts w:ascii="宋体" w:hAnsi="宋体"/>
                <w:bCs/>
                <w:szCs w:val="21"/>
              </w:rPr>
              <w:t>3.</w:t>
            </w:r>
            <w:r>
              <w:rPr>
                <w:rFonts w:hint="eastAsia" w:ascii="宋体" w:hAnsi="宋体" w:cs="宋体"/>
                <w:bCs/>
                <w:szCs w:val="21"/>
              </w:rPr>
              <w:t>投</w:t>
            </w:r>
            <w:r>
              <w:rPr>
                <w:rFonts w:hint="eastAsia" w:ascii="宋体" w:hAnsi="宋体" w:cs="宋体"/>
                <w:szCs w:val="21"/>
              </w:rPr>
              <w:t>标人依法缴纳社会保障资金的相关材料</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5F3F7089">
            <w:pPr>
              <w:snapToGrid w:val="0"/>
              <w:spacing w:line="360" w:lineRule="auto"/>
              <w:ind w:firstLine="420" w:firstLineChars="200"/>
              <w:jc w:val="left"/>
              <w:rPr>
                <w:rFonts w:ascii="宋体" w:hAnsi="宋体"/>
                <w:szCs w:val="21"/>
              </w:rPr>
            </w:pPr>
            <w:r>
              <w:rPr>
                <w:rFonts w:hint="eastAsia" w:ascii="宋体" w:hAnsi="宋体" w:cs="宋体"/>
                <w:szCs w:val="21"/>
              </w:rPr>
              <w:t>【</w:t>
            </w:r>
            <w:r>
              <w:rPr>
                <w:rFonts w:hint="eastAsia" w:ascii="宋体" w:hAnsi="宋体" w:cs="宋体"/>
                <w:szCs w:val="21"/>
                <w:u w:val="single"/>
              </w:rPr>
              <w:t xml:space="preserve"> 2026 年 1 月</w:t>
            </w:r>
            <w:r>
              <w:rPr>
                <w:rFonts w:hint="eastAsia" w:ascii="宋体" w:hAnsi="宋体" w:cs="宋体"/>
                <w:szCs w:val="21"/>
              </w:rPr>
              <w:t>以来</w:t>
            </w:r>
            <w:r>
              <w:rPr>
                <w:rFonts w:hint="eastAsia" w:ascii="宋体" w:hAnsi="宋体" w:cs="宋体"/>
                <w:szCs w:val="21"/>
                <w:lang w:val="en-US" w:eastAsia="zh-CN"/>
              </w:rPr>
              <w:t>任意</w:t>
            </w:r>
            <w:r>
              <w:rPr>
                <w:rFonts w:hint="eastAsia" w:ascii="宋体" w:hAnsi="宋体" w:cs="宋体"/>
                <w:szCs w:val="21"/>
                <w:u w:val="single"/>
              </w:rPr>
              <w:t xml:space="preserve"> </w:t>
            </w:r>
            <w:r>
              <w:rPr>
                <w:rFonts w:hint="eastAsia" w:ascii="宋体" w:hAnsi="宋体" w:cs="宋体"/>
                <w:szCs w:val="21"/>
                <w:u w:val="single"/>
                <w:lang w:val="en-US" w:eastAsia="zh-CN"/>
              </w:rPr>
              <w:t>1</w:t>
            </w:r>
            <w:r>
              <w:rPr>
                <w:rFonts w:hint="eastAsia" w:ascii="宋体" w:hAnsi="宋体" w:cs="宋体"/>
                <w:szCs w:val="21"/>
                <w:u w:val="single"/>
              </w:rPr>
              <w:t xml:space="preserve"> 个月 </w:t>
            </w:r>
            <w:r>
              <w:rPr>
                <w:rFonts w:hint="eastAsia" w:ascii="宋体" w:hAnsi="宋体" w:cs="宋体"/>
                <w:szCs w:val="21"/>
              </w:rPr>
              <w:t>的依法缴纳社会保障资金的缴费凭证（专用收据或者社会保险缴纳清单）复印件；</w:t>
            </w:r>
            <w:r>
              <w:rPr>
                <w:rFonts w:hint="eastAsia" w:ascii="宋体" w:hAnsi="宋体"/>
                <w:szCs w:val="21"/>
              </w:rPr>
              <w:t>依法不需要缴纳社会保障资金的供应商，必须提供相应文件证明不需要缴纳社会保障资金。</w:t>
            </w:r>
            <w:r>
              <w:rPr>
                <w:rFonts w:hint="eastAsia" w:ascii="宋体" w:hAnsi="宋体" w:cs="宋体"/>
                <w:szCs w:val="21"/>
              </w:rPr>
              <w:t>从取得营业执照时间起到投标文件提交截止时间为止不足要求月数的只需提供从取得营业执照起的依法缴纳社会保障资金的</w:t>
            </w:r>
            <w:r>
              <w:rPr>
                <w:rFonts w:hint="eastAsia" w:ascii="宋体" w:hAnsi="宋体"/>
                <w:szCs w:val="21"/>
              </w:rPr>
              <w:t>相应证明文件</w:t>
            </w:r>
            <w:r>
              <w:rPr>
                <w:rFonts w:hint="eastAsia" w:ascii="宋体" w:hAnsi="宋体" w:cs="宋体"/>
                <w:szCs w:val="21"/>
              </w:rPr>
              <w:t>】</w:t>
            </w:r>
            <w:r>
              <w:rPr>
                <w:rFonts w:hint="eastAsia" w:ascii="宋体" w:hAnsi="宋体"/>
                <w:szCs w:val="21"/>
              </w:rPr>
              <w:t>；</w:t>
            </w:r>
          </w:p>
          <w:p w14:paraId="3127A9F5">
            <w:pPr>
              <w:snapToGrid w:val="0"/>
              <w:spacing w:line="360" w:lineRule="auto"/>
              <w:ind w:firstLine="420" w:firstLineChars="200"/>
              <w:jc w:val="left"/>
              <w:rPr>
                <w:rFonts w:ascii="宋体" w:hAnsi="宋体"/>
                <w:szCs w:val="21"/>
              </w:rPr>
            </w:pPr>
            <w:r>
              <w:rPr>
                <w:rFonts w:ascii="宋体" w:hAnsi="宋体"/>
                <w:bCs/>
                <w:szCs w:val="21"/>
              </w:rPr>
              <w:t>4.</w:t>
            </w:r>
            <w:r>
              <w:rPr>
                <w:rFonts w:hint="eastAsia" w:ascii="宋体" w:hAnsi="宋体" w:cs="宋体"/>
                <w:bCs/>
                <w:szCs w:val="21"/>
              </w:rPr>
              <w:t>投标</w:t>
            </w:r>
            <w:r>
              <w:rPr>
                <w:rFonts w:hint="eastAsia" w:ascii="宋体" w:hAnsi="宋体" w:cs="宋体"/>
                <w:szCs w:val="21"/>
              </w:rPr>
              <w:t>人财务状况报告</w:t>
            </w:r>
            <w:r>
              <w:rPr>
                <w:rFonts w:hint="eastAsia" w:ascii="宋体" w:hAnsi="宋体"/>
                <w:szCs w:val="21"/>
              </w:rPr>
              <w:t>（</w:t>
            </w:r>
            <w:r>
              <w:rPr>
                <w:rFonts w:hint="eastAsia" w:ascii="宋体" w:hAnsi="宋体"/>
                <w:b/>
                <w:szCs w:val="21"/>
              </w:rPr>
              <w:t>必须提供，否则作无效投标处理</w:t>
            </w:r>
            <w:r>
              <w:rPr>
                <w:rFonts w:hint="eastAsia" w:ascii="宋体" w:hAnsi="宋体"/>
                <w:szCs w:val="21"/>
              </w:rPr>
              <w:t>）</w:t>
            </w:r>
          </w:p>
          <w:p w14:paraId="25D3CC95">
            <w:pPr>
              <w:snapToGrid w:val="0"/>
              <w:spacing w:line="360" w:lineRule="auto"/>
              <w:ind w:firstLine="420" w:firstLineChars="200"/>
              <w:jc w:val="left"/>
              <w:rPr>
                <w:rFonts w:ascii="宋体" w:hAnsi="宋体" w:cs="宋体"/>
                <w:szCs w:val="21"/>
              </w:rPr>
            </w:pPr>
            <w:r>
              <w:rPr>
                <w:rFonts w:hint="eastAsia" w:ascii="宋体" w:hAnsi="宋体" w:cs="宋体"/>
                <w:szCs w:val="21"/>
              </w:rPr>
              <w:t>【</w:t>
            </w:r>
            <w:r>
              <w:rPr>
                <w:rFonts w:hint="eastAsia" w:ascii="宋体" w:hAnsi="宋体" w:cs="宋体"/>
                <w:szCs w:val="21"/>
                <w:u w:val="single"/>
              </w:rPr>
              <w:t xml:space="preserve">2025年 </w:t>
            </w:r>
            <w:r>
              <w:rPr>
                <w:rFonts w:hint="eastAsia" w:ascii="宋体" w:hAnsi="宋体" w:cs="宋体"/>
                <w:szCs w:val="21"/>
              </w:rPr>
              <w:t>度财务报表复印件或者银行出具的资信证明；投标人属于成立时间在规定年度之后的法人或其他组织，需提供成立之日起至投标截止时间前的月报表或银行出具的资信证明；资信证明应在有效期内，未注明有效期的，银行出具时间至投标截止时间不超过一年】</w:t>
            </w:r>
            <w:r>
              <w:rPr>
                <w:rFonts w:hint="eastAsia" w:ascii="宋体" w:hAnsi="宋体"/>
                <w:szCs w:val="21"/>
              </w:rPr>
              <w:t>；</w:t>
            </w:r>
          </w:p>
          <w:p w14:paraId="4B947469">
            <w:pPr>
              <w:snapToGrid w:val="0"/>
              <w:spacing w:line="360" w:lineRule="auto"/>
              <w:ind w:firstLine="420" w:firstLineChars="200"/>
              <w:jc w:val="left"/>
              <w:rPr>
                <w:rFonts w:ascii="宋体" w:hAnsi="宋体"/>
                <w:szCs w:val="21"/>
              </w:rPr>
            </w:pPr>
            <w:r>
              <w:rPr>
                <w:rFonts w:ascii="宋体" w:hAnsi="宋体"/>
                <w:bCs/>
                <w:szCs w:val="21"/>
              </w:rPr>
              <w:t>5.</w:t>
            </w:r>
            <w:r>
              <w:rPr>
                <w:rFonts w:hint="eastAsia" w:ascii="宋体" w:hAnsi="宋体"/>
                <w:bCs/>
                <w:szCs w:val="21"/>
              </w:rPr>
              <w:t>投</w:t>
            </w:r>
            <w:r>
              <w:rPr>
                <w:rFonts w:hint="eastAsia" w:ascii="宋体" w:hAnsi="宋体"/>
                <w:szCs w:val="21"/>
              </w:rPr>
              <w:t>标人直接控股、管理关系信息表（格式后附）；（</w:t>
            </w:r>
            <w:r>
              <w:rPr>
                <w:rFonts w:hint="eastAsia" w:ascii="宋体" w:hAnsi="宋体"/>
                <w:b/>
                <w:szCs w:val="21"/>
              </w:rPr>
              <w:t>必须提供，否则作无效投标处理</w:t>
            </w:r>
            <w:r>
              <w:rPr>
                <w:rFonts w:hint="eastAsia" w:ascii="宋体" w:hAnsi="宋体"/>
                <w:szCs w:val="21"/>
              </w:rPr>
              <w:t>）</w:t>
            </w:r>
          </w:p>
          <w:p w14:paraId="1E41D8E2">
            <w:pPr>
              <w:snapToGrid w:val="0"/>
              <w:spacing w:line="360" w:lineRule="auto"/>
              <w:ind w:firstLine="420" w:firstLineChars="200"/>
              <w:jc w:val="left"/>
              <w:rPr>
                <w:rFonts w:ascii="宋体" w:hAnsi="宋体"/>
                <w:szCs w:val="21"/>
              </w:rPr>
            </w:pPr>
            <w:r>
              <w:rPr>
                <w:rFonts w:ascii="宋体" w:hAnsi="宋体"/>
                <w:bCs/>
                <w:szCs w:val="21"/>
              </w:rPr>
              <w:t>6.</w:t>
            </w:r>
            <w:r>
              <w:rPr>
                <w:rFonts w:hint="eastAsia" w:ascii="宋体" w:hAnsi="宋体"/>
                <w:bCs/>
                <w:szCs w:val="21"/>
              </w:rPr>
              <w:t>投</w:t>
            </w:r>
            <w:r>
              <w:rPr>
                <w:rFonts w:hint="eastAsia" w:ascii="宋体" w:hAnsi="宋体"/>
                <w:szCs w:val="21"/>
              </w:rPr>
              <w:t>标声明（格式后附）；（</w:t>
            </w:r>
            <w:r>
              <w:rPr>
                <w:rFonts w:hint="eastAsia" w:ascii="宋体" w:hAnsi="宋体"/>
                <w:b/>
                <w:szCs w:val="21"/>
              </w:rPr>
              <w:t>必须提供，否则作无效投标处理</w:t>
            </w:r>
            <w:r>
              <w:rPr>
                <w:rFonts w:hint="eastAsia" w:ascii="宋体" w:hAnsi="宋体"/>
                <w:szCs w:val="21"/>
              </w:rPr>
              <w:t>）</w:t>
            </w:r>
          </w:p>
          <w:p w14:paraId="0535727B">
            <w:pPr>
              <w:snapToGrid w:val="0"/>
              <w:spacing w:line="360" w:lineRule="auto"/>
              <w:ind w:firstLine="420" w:firstLineChars="200"/>
              <w:jc w:val="left"/>
              <w:rPr>
                <w:rFonts w:ascii="宋体" w:hAnsi="宋体"/>
                <w:bCs/>
                <w:szCs w:val="21"/>
              </w:rPr>
            </w:pPr>
            <w:r>
              <w:rPr>
                <w:rFonts w:hint="eastAsia" w:ascii="宋体" w:hAnsi="宋体"/>
                <w:bCs/>
                <w:szCs w:val="21"/>
              </w:rPr>
              <w:t>7</w:t>
            </w:r>
            <w:r>
              <w:rPr>
                <w:rFonts w:ascii="宋体" w:hAnsi="宋体"/>
                <w:bCs/>
                <w:szCs w:val="21"/>
              </w:rPr>
              <w:t>.《中小企业声明函》或《残疾人福利性单位声明函》或属于监狱企业的证明文件（格式后附）；（</w:t>
            </w:r>
            <w:r>
              <w:rPr>
                <w:rFonts w:ascii="宋体" w:hAnsi="宋体"/>
                <w:b/>
                <w:bCs w:val="0"/>
                <w:szCs w:val="21"/>
              </w:rPr>
              <w:t>分标 2 必须提供，否则按无效投标处理</w:t>
            </w:r>
            <w:r>
              <w:rPr>
                <w:rFonts w:ascii="宋体" w:hAnsi="宋体"/>
                <w:bCs/>
                <w:szCs w:val="21"/>
              </w:rPr>
              <w:t>）</w:t>
            </w:r>
          </w:p>
          <w:p w14:paraId="7449A58D">
            <w:pPr>
              <w:snapToGrid w:val="0"/>
              <w:spacing w:line="360" w:lineRule="auto"/>
              <w:ind w:firstLine="420" w:firstLineChars="200"/>
              <w:jc w:val="left"/>
              <w:rPr>
                <w:rFonts w:ascii="宋体" w:hAnsi="宋体"/>
                <w:szCs w:val="21"/>
              </w:rPr>
            </w:pPr>
            <w:r>
              <w:rPr>
                <w:rFonts w:hint="eastAsia" w:ascii="宋体" w:hAnsi="宋体"/>
                <w:bCs/>
                <w:szCs w:val="21"/>
              </w:rPr>
              <w:t>8.除招</w:t>
            </w:r>
            <w:r>
              <w:rPr>
                <w:rFonts w:hint="eastAsia" w:ascii="宋体" w:hAnsi="宋体"/>
                <w:szCs w:val="21"/>
              </w:rPr>
              <w:t>标文件规定必须提供以外，投标人认为需要提供的其他证明材料。</w:t>
            </w:r>
          </w:p>
          <w:p w14:paraId="664E0DAE">
            <w:pPr>
              <w:snapToGrid w:val="0"/>
              <w:spacing w:line="360" w:lineRule="auto"/>
              <w:jc w:val="left"/>
              <w:rPr>
                <w:rFonts w:ascii="宋体" w:hAnsi="宋体" w:cs="Courier New"/>
                <w:b/>
                <w:szCs w:val="21"/>
              </w:rPr>
            </w:pPr>
            <w:r>
              <w:rPr>
                <w:rFonts w:hint="eastAsia" w:ascii="宋体" w:hAnsi="宋体"/>
                <w:b/>
                <w:bCs/>
                <w:szCs w:val="21"/>
              </w:rPr>
              <w:t>注：1.</w:t>
            </w:r>
            <w:r>
              <w:rPr>
                <w:rFonts w:hint="eastAsia" w:ascii="宋体" w:hAnsi="宋体"/>
                <w:b/>
                <w:bCs/>
                <w:spacing w:val="-6"/>
                <w:szCs w:val="21"/>
              </w:rPr>
              <w:t>以上标明“必须提供”的材料属于复印件的，必须加盖投标人公章或电子公章，否则</w:t>
            </w:r>
            <w:r>
              <w:rPr>
                <w:rFonts w:hint="eastAsia" w:ascii="宋体" w:hAnsi="宋体" w:cs="Courier New"/>
                <w:b/>
                <w:spacing w:val="-6"/>
                <w:szCs w:val="21"/>
              </w:rPr>
              <w:t>作无效投标处理。</w:t>
            </w:r>
          </w:p>
          <w:p w14:paraId="2C8F4B26">
            <w:pPr>
              <w:snapToGrid w:val="0"/>
              <w:spacing w:line="360" w:lineRule="auto"/>
              <w:ind w:firstLine="422" w:firstLineChars="200"/>
              <w:jc w:val="left"/>
              <w:rPr>
                <w:rFonts w:ascii="宋体" w:hAnsi="宋体"/>
                <w:b/>
                <w:bCs/>
                <w:szCs w:val="21"/>
              </w:rPr>
            </w:pPr>
            <w:r>
              <w:rPr>
                <w:rFonts w:hint="eastAsia" w:ascii="宋体" w:hAnsi="宋体" w:cs="Courier New"/>
                <w:b/>
                <w:szCs w:val="21"/>
              </w:rPr>
              <w:t>2.</w:t>
            </w:r>
            <w:r>
              <w:rPr>
                <w:rFonts w:hint="eastAsia" w:ascii="宋体" w:hAnsi="宋体"/>
                <w:b/>
                <w:bCs/>
                <w:szCs w:val="21"/>
              </w:rPr>
              <w:t>投标声明必须由法定代表人在规定签章处签字并加盖投标人公章或电子公章，否则作无效投标处理。</w:t>
            </w:r>
          </w:p>
          <w:p w14:paraId="0A995BF7">
            <w:pPr>
              <w:snapToGrid w:val="0"/>
              <w:spacing w:line="360" w:lineRule="auto"/>
              <w:ind w:firstLine="422" w:firstLineChars="200"/>
              <w:jc w:val="left"/>
              <w:rPr>
                <w:rFonts w:ascii="宋体" w:hAnsi="宋体"/>
                <w:b/>
                <w:bCs/>
                <w:szCs w:val="21"/>
              </w:rPr>
            </w:pPr>
            <w:r>
              <w:rPr>
                <w:rFonts w:hint="eastAsia" w:ascii="宋体" w:hAnsi="宋体"/>
                <w:b/>
                <w:bCs/>
                <w:szCs w:val="21"/>
              </w:rPr>
              <w:t>3.投标人直接控股、管理关系信息表必须由法定代表人或者委托代理人在规定签章处签字并加盖投标人公章或电子公章，否则</w:t>
            </w:r>
            <w:r>
              <w:rPr>
                <w:rFonts w:hint="eastAsia" w:ascii="宋体" w:hAnsi="宋体" w:cs="Courier New"/>
                <w:b/>
                <w:szCs w:val="21"/>
              </w:rPr>
              <w:t>作无效投标处理</w:t>
            </w:r>
            <w:r>
              <w:rPr>
                <w:rFonts w:hint="eastAsia" w:ascii="宋体" w:hAnsi="宋体"/>
                <w:b/>
                <w:bCs/>
                <w:szCs w:val="21"/>
              </w:rPr>
              <w:t>。</w:t>
            </w:r>
          </w:p>
        </w:tc>
      </w:tr>
      <w:tr w14:paraId="17263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968" w:type="dxa"/>
            <w:vMerge w:val="continue"/>
            <w:tcBorders>
              <w:left w:val="single" w:color="auto" w:sz="4" w:space="0"/>
              <w:right w:val="single" w:color="auto" w:sz="4" w:space="0"/>
            </w:tcBorders>
            <w:vAlign w:val="center"/>
          </w:tcPr>
          <w:p w14:paraId="5A528427">
            <w:pPr>
              <w:spacing w:line="360" w:lineRule="auto"/>
              <w:rPr>
                <w:rFonts w:ascii="宋体" w:hAnsi="宋体"/>
                <w:szCs w:val="21"/>
              </w:rPr>
            </w:pPr>
            <w:bookmarkStart w:id="57" w:name="_13.3"/>
            <w:bookmarkEnd w:id="57"/>
          </w:p>
        </w:tc>
        <w:tc>
          <w:tcPr>
            <w:tcW w:w="8597" w:type="dxa"/>
            <w:tcBorders>
              <w:top w:val="single" w:color="auto" w:sz="4" w:space="0"/>
              <w:left w:val="single" w:color="auto" w:sz="4" w:space="0"/>
              <w:bottom w:val="single" w:color="auto" w:sz="4" w:space="0"/>
              <w:right w:val="single" w:color="auto" w:sz="4" w:space="0"/>
            </w:tcBorders>
            <w:vAlign w:val="center"/>
          </w:tcPr>
          <w:p w14:paraId="1D3000CF">
            <w:pPr>
              <w:snapToGrid w:val="0"/>
              <w:spacing w:line="360" w:lineRule="auto"/>
              <w:jc w:val="left"/>
              <w:rPr>
                <w:rFonts w:ascii="宋体" w:hAnsi="宋体" w:cs="Courier New"/>
                <w:b/>
                <w:szCs w:val="21"/>
              </w:rPr>
            </w:pPr>
            <w:r>
              <w:rPr>
                <w:rFonts w:hint="eastAsia" w:ascii="宋体" w:hAnsi="宋体" w:cs="Courier New"/>
                <w:b/>
                <w:szCs w:val="21"/>
              </w:rPr>
              <w:t>商务技术文件：</w:t>
            </w:r>
          </w:p>
          <w:p w14:paraId="7971BC53">
            <w:pPr>
              <w:snapToGrid w:val="0"/>
              <w:spacing w:line="360" w:lineRule="auto"/>
              <w:ind w:left="413"/>
              <w:jc w:val="left"/>
              <w:rPr>
                <w:rFonts w:ascii="宋体" w:hAnsi="宋体"/>
                <w:szCs w:val="21"/>
              </w:rPr>
            </w:pPr>
            <w:r>
              <w:rPr>
                <w:rFonts w:hint="eastAsia" w:ascii="宋体" w:hAnsi="宋体"/>
                <w:szCs w:val="21"/>
              </w:rPr>
              <w:t>1.无串通投标行为的承诺函（格式后附）；（</w:t>
            </w:r>
            <w:r>
              <w:rPr>
                <w:rFonts w:hint="eastAsia" w:ascii="宋体" w:hAnsi="宋体"/>
                <w:b/>
                <w:szCs w:val="21"/>
              </w:rPr>
              <w:t>必须提供，否则作无效投标处理</w:t>
            </w:r>
            <w:r>
              <w:rPr>
                <w:rFonts w:hint="eastAsia" w:ascii="宋体" w:hAnsi="宋体"/>
                <w:szCs w:val="21"/>
              </w:rPr>
              <w:t>）</w:t>
            </w:r>
          </w:p>
          <w:p w14:paraId="6443FD70">
            <w:pPr>
              <w:snapToGrid w:val="0"/>
              <w:spacing w:line="360" w:lineRule="auto"/>
              <w:ind w:left="413"/>
              <w:jc w:val="left"/>
              <w:rPr>
                <w:rFonts w:ascii="宋体" w:hAnsi="宋体"/>
                <w:szCs w:val="21"/>
              </w:rPr>
            </w:pPr>
            <w:r>
              <w:rPr>
                <w:rFonts w:hint="eastAsia" w:ascii="宋体" w:hAnsi="宋体"/>
                <w:szCs w:val="21"/>
              </w:rPr>
              <w:t>2.法定代表人身份证明及法定代表人有效身份证正反面复印件（格式后附）；（</w:t>
            </w:r>
            <w:r>
              <w:rPr>
                <w:rFonts w:hint="eastAsia" w:ascii="宋体" w:hAnsi="宋体" w:cs="宋体"/>
                <w:b/>
                <w:bCs/>
                <w:szCs w:val="21"/>
              </w:rPr>
              <w:t>除自然人投标外</w:t>
            </w:r>
            <w:r>
              <w:rPr>
                <w:rFonts w:hint="eastAsia" w:ascii="宋体" w:hAnsi="宋体"/>
                <w:b/>
                <w:szCs w:val="21"/>
              </w:rPr>
              <w:t>必须提供，否则作无效投标处理</w:t>
            </w:r>
            <w:r>
              <w:rPr>
                <w:rFonts w:hint="eastAsia" w:ascii="宋体" w:hAnsi="宋体"/>
                <w:szCs w:val="21"/>
              </w:rPr>
              <w:t>）</w:t>
            </w:r>
          </w:p>
          <w:p w14:paraId="2DEA9B34">
            <w:pPr>
              <w:spacing w:line="360" w:lineRule="auto"/>
              <w:ind w:firstLine="420" w:firstLineChars="200"/>
              <w:jc w:val="left"/>
              <w:rPr>
                <w:rFonts w:ascii="宋体" w:hAnsi="宋体" w:cs="宋体"/>
                <w:szCs w:val="21"/>
              </w:rPr>
            </w:pPr>
            <w:r>
              <w:rPr>
                <w:rFonts w:hint="eastAsia" w:ascii="宋体" w:hAnsi="宋体" w:cs="宋体"/>
                <w:szCs w:val="21"/>
              </w:rPr>
              <w:t>3.授权委托书原件、委托代理人身份证正反面复印件以及由县级以上（含县级）社会养老保险经办机构出具的供应商为委托代理人交纳的响应文件递交截止时间前三个月内任意一个月养老保险证明复印件（格式后附）</w:t>
            </w:r>
            <w:r>
              <w:rPr>
                <w:rFonts w:hint="eastAsia" w:ascii="宋体" w:hAnsi="宋体" w:cs="宋体"/>
                <w:b/>
                <w:bCs/>
                <w:szCs w:val="21"/>
              </w:rPr>
              <w:t>（委托代理时必须提供）</w:t>
            </w:r>
          </w:p>
          <w:p w14:paraId="0B59334B">
            <w:pPr>
              <w:spacing w:line="360" w:lineRule="auto"/>
              <w:ind w:firstLine="420" w:firstLineChars="200"/>
              <w:jc w:val="left"/>
              <w:rPr>
                <w:rFonts w:ascii="宋体" w:hAnsi="宋体" w:cs="宋体"/>
                <w:szCs w:val="21"/>
              </w:rPr>
            </w:pPr>
            <w:r>
              <w:rPr>
                <w:rFonts w:hint="eastAsia" w:ascii="宋体" w:hAnsi="宋体" w:cs="宋体"/>
                <w:szCs w:val="21"/>
              </w:rPr>
              <w:t>除供应商为以下四种情形的：</w:t>
            </w:r>
          </w:p>
          <w:p w14:paraId="4EBD0C8E">
            <w:pPr>
              <w:spacing w:line="360" w:lineRule="auto"/>
              <w:ind w:firstLine="420" w:firstLineChars="200"/>
              <w:jc w:val="left"/>
              <w:rPr>
                <w:rFonts w:ascii="宋体" w:hAnsi="宋体" w:cs="宋体"/>
                <w:szCs w:val="21"/>
              </w:rPr>
            </w:pPr>
            <w:r>
              <w:rPr>
                <w:rFonts w:hint="eastAsia" w:ascii="宋体" w:hAnsi="宋体" w:cs="宋体"/>
                <w:szCs w:val="21"/>
              </w:rPr>
              <w:t>①如供应商为截标时间前60日以内成立的公司，可以提供供应商与委托代理人签订的劳动合同复印件代替养老保险证明复印件；</w:t>
            </w:r>
          </w:p>
          <w:p w14:paraId="3C18418B">
            <w:pPr>
              <w:spacing w:line="360" w:lineRule="auto"/>
              <w:ind w:firstLine="420" w:firstLineChars="200"/>
              <w:jc w:val="left"/>
              <w:rPr>
                <w:rFonts w:ascii="宋体" w:hAnsi="宋体" w:cs="宋体"/>
                <w:szCs w:val="21"/>
              </w:rPr>
            </w:pPr>
            <w:r>
              <w:rPr>
                <w:rFonts w:hint="eastAsia" w:ascii="宋体" w:hAnsi="宋体" w:cs="宋体"/>
                <w:szCs w:val="21"/>
              </w:rPr>
              <w:t>②如供应商为事业单位，可以提供事业单位机构编制管理证复印件或事业单位机构为其发放工资的工资条复印件代替养老保险证明复印件；</w:t>
            </w:r>
          </w:p>
          <w:p w14:paraId="69663C49">
            <w:pPr>
              <w:spacing w:line="360" w:lineRule="auto"/>
              <w:ind w:firstLine="420" w:firstLineChars="200"/>
              <w:jc w:val="left"/>
              <w:rPr>
                <w:rFonts w:ascii="宋体" w:hAnsi="宋体" w:cs="宋体"/>
                <w:szCs w:val="21"/>
              </w:rPr>
            </w:pPr>
            <w:r>
              <w:rPr>
                <w:rFonts w:hint="eastAsia" w:ascii="宋体" w:hAnsi="宋体" w:cs="宋体"/>
                <w:szCs w:val="21"/>
              </w:rPr>
              <w:t>③如委托代理人为免缴纳养老保险人员，提供免缴纳养老保险的证明材料复印件及供应商与委托代理人签订的劳动合同复印件代替养老保险证明复印件；</w:t>
            </w:r>
          </w:p>
          <w:p w14:paraId="1A31F2E0">
            <w:pPr>
              <w:spacing w:line="360" w:lineRule="auto"/>
              <w:ind w:firstLine="420" w:firstLineChars="200"/>
              <w:jc w:val="left"/>
              <w:rPr>
                <w:rFonts w:ascii="宋体" w:hAnsi="宋体" w:cs="宋体"/>
                <w:szCs w:val="21"/>
              </w:rPr>
            </w:pPr>
            <w:r>
              <w:rPr>
                <w:rFonts w:hint="eastAsia" w:ascii="宋体" w:hAnsi="宋体" w:cs="宋体"/>
                <w:szCs w:val="21"/>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45BF6043">
            <w:pPr>
              <w:snapToGrid w:val="0"/>
              <w:spacing w:line="360" w:lineRule="auto"/>
              <w:jc w:val="left"/>
              <w:rPr>
                <w:rFonts w:ascii="宋体" w:hAnsi="宋体"/>
                <w:szCs w:val="21"/>
              </w:rPr>
            </w:pPr>
            <w:r>
              <w:rPr>
                <w:rFonts w:hint="eastAsia" w:ascii="宋体" w:hAnsi="宋体" w:cs="宋体"/>
                <w:szCs w:val="21"/>
              </w:rPr>
              <w:t>【属自然人的应提供由县级以上（含县级）社会养老保险经办机构出具的自然人本人及委托代理人所交纳的响应文件递交截止时间前三个月内任意一个月养老保险证明复印件，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3E50F7BB">
            <w:pPr>
              <w:snapToGrid w:val="0"/>
              <w:spacing w:line="360" w:lineRule="auto"/>
              <w:ind w:left="413"/>
              <w:jc w:val="left"/>
              <w:rPr>
                <w:rFonts w:ascii="宋体" w:hAnsi="宋体"/>
                <w:szCs w:val="21"/>
              </w:rPr>
            </w:pPr>
            <w:r>
              <w:rPr>
                <w:rFonts w:hint="eastAsia" w:ascii="宋体" w:hAnsi="宋体"/>
                <w:szCs w:val="21"/>
              </w:rPr>
              <w:t>4</w:t>
            </w:r>
            <w:r>
              <w:rPr>
                <w:rFonts w:ascii="宋体" w:hAnsi="宋体"/>
                <w:szCs w:val="21"/>
              </w:rPr>
              <w:t>.</w:t>
            </w:r>
            <w:r>
              <w:rPr>
                <w:rFonts w:hint="eastAsia" w:ascii="宋体" w:hAnsi="宋体"/>
                <w:szCs w:val="21"/>
              </w:rPr>
              <w:t>商务条款偏离表（格式后附）；（</w:t>
            </w:r>
            <w:r>
              <w:rPr>
                <w:rFonts w:hint="eastAsia" w:ascii="宋体" w:hAnsi="宋体"/>
                <w:b/>
                <w:szCs w:val="21"/>
              </w:rPr>
              <w:t>必须提供，否则作无效投标处理</w:t>
            </w:r>
            <w:r>
              <w:rPr>
                <w:rFonts w:hint="eastAsia" w:ascii="宋体" w:hAnsi="宋体"/>
                <w:szCs w:val="21"/>
              </w:rPr>
              <w:t>）</w:t>
            </w:r>
          </w:p>
          <w:p w14:paraId="66D24DA2">
            <w:pPr>
              <w:snapToGrid w:val="0"/>
              <w:spacing w:line="360" w:lineRule="auto"/>
              <w:ind w:left="413"/>
              <w:jc w:val="left"/>
              <w:rPr>
                <w:rFonts w:ascii="宋体" w:hAnsi="宋体"/>
                <w:szCs w:val="21"/>
              </w:rPr>
            </w:pPr>
            <w:r>
              <w:rPr>
                <w:rFonts w:hint="eastAsia" w:ascii="宋体" w:hAnsi="宋体"/>
                <w:szCs w:val="21"/>
              </w:rPr>
              <w:t>5.售后服务方案（格式自拟）；（</w:t>
            </w:r>
            <w:r>
              <w:rPr>
                <w:rFonts w:hint="eastAsia" w:ascii="宋体" w:hAnsi="宋体"/>
                <w:b/>
                <w:szCs w:val="21"/>
              </w:rPr>
              <w:t>如有，请提供</w:t>
            </w:r>
            <w:r>
              <w:rPr>
                <w:rFonts w:hint="eastAsia" w:ascii="宋体" w:hAnsi="宋体"/>
                <w:szCs w:val="21"/>
              </w:rPr>
              <w:t>）</w:t>
            </w:r>
          </w:p>
          <w:p w14:paraId="1A92F0F0">
            <w:pPr>
              <w:snapToGrid w:val="0"/>
              <w:spacing w:line="360" w:lineRule="auto"/>
              <w:ind w:left="420"/>
              <w:jc w:val="left"/>
              <w:rPr>
                <w:rFonts w:ascii="宋体" w:hAnsi="宋体"/>
                <w:szCs w:val="21"/>
              </w:rPr>
            </w:pPr>
            <w:r>
              <w:rPr>
                <w:rFonts w:hint="eastAsia" w:ascii="宋体" w:hAnsi="宋体"/>
                <w:szCs w:val="21"/>
              </w:rPr>
              <w:t>6.设备性能配置清单（格式后附）；（</w:t>
            </w:r>
            <w:r>
              <w:rPr>
                <w:rFonts w:hint="eastAsia" w:ascii="宋体" w:hAnsi="宋体"/>
                <w:b/>
                <w:szCs w:val="21"/>
              </w:rPr>
              <w:t>必须提供，否则作无效投标处理</w:t>
            </w:r>
            <w:r>
              <w:rPr>
                <w:rFonts w:hint="eastAsia" w:ascii="宋体" w:hAnsi="宋体"/>
                <w:szCs w:val="21"/>
              </w:rPr>
              <w:t>）</w:t>
            </w:r>
          </w:p>
          <w:p w14:paraId="088873C5">
            <w:pPr>
              <w:snapToGrid w:val="0"/>
              <w:spacing w:line="360" w:lineRule="auto"/>
              <w:ind w:left="413"/>
              <w:jc w:val="left"/>
              <w:rPr>
                <w:rFonts w:ascii="宋体" w:hAnsi="宋体"/>
                <w:szCs w:val="21"/>
              </w:rPr>
            </w:pPr>
            <w:r>
              <w:rPr>
                <w:rFonts w:hint="eastAsia" w:ascii="宋体" w:hAnsi="宋体"/>
                <w:szCs w:val="21"/>
              </w:rPr>
              <w:t>7.技术偏离表（格式后附）；（</w:t>
            </w:r>
            <w:r>
              <w:rPr>
                <w:rFonts w:hint="eastAsia" w:ascii="宋体" w:hAnsi="宋体"/>
                <w:b/>
                <w:szCs w:val="21"/>
              </w:rPr>
              <w:t>必须提供，否则作无效投标处理</w:t>
            </w:r>
            <w:r>
              <w:rPr>
                <w:rFonts w:hint="eastAsia" w:ascii="宋体" w:hAnsi="宋体"/>
                <w:szCs w:val="21"/>
              </w:rPr>
              <w:t>）</w:t>
            </w:r>
          </w:p>
          <w:p w14:paraId="2AE16D4C">
            <w:pPr>
              <w:snapToGrid w:val="0"/>
              <w:spacing w:line="360" w:lineRule="auto"/>
              <w:ind w:left="420"/>
              <w:jc w:val="left"/>
              <w:rPr>
                <w:rFonts w:ascii="宋体" w:hAnsi="宋体"/>
                <w:b/>
                <w:szCs w:val="21"/>
              </w:rPr>
            </w:pPr>
            <w:r>
              <w:rPr>
                <w:rFonts w:hint="eastAsia" w:ascii="宋体" w:hAnsi="宋体"/>
                <w:szCs w:val="21"/>
              </w:rPr>
              <w:t>8.项目实施方案（格式自拟）；</w:t>
            </w:r>
            <w:r>
              <w:rPr>
                <w:rFonts w:hint="eastAsia" w:ascii="宋体" w:hAnsi="宋体"/>
                <w:b/>
                <w:szCs w:val="21"/>
              </w:rPr>
              <w:t>（如有，请提供）</w:t>
            </w:r>
          </w:p>
          <w:p w14:paraId="0C735B13">
            <w:pPr>
              <w:snapToGrid w:val="0"/>
              <w:spacing w:line="360" w:lineRule="auto"/>
              <w:ind w:left="420"/>
              <w:jc w:val="left"/>
              <w:rPr>
                <w:rFonts w:ascii="宋体" w:hAnsi="宋体"/>
                <w:szCs w:val="21"/>
              </w:rPr>
            </w:pPr>
            <w:r>
              <w:rPr>
                <w:rFonts w:hint="eastAsia" w:ascii="宋体" w:hAnsi="宋体"/>
                <w:szCs w:val="21"/>
              </w:rPr>
              <w:t>9.类似的业绩证明文件（格式后附）；</w:t>
            </w:r>
            <w:r>
              <w:rPr>
                <w:rFonts w:hint="eastAsia" w:ascii="宋体" w:hAnsi="宋体"/>
                <w:b/>
                <w:szCs w:val="21"/>
              </w:rPr>
              <w:t>（如有，请提供）</w:t>
            </w:r>
          </w:p>
          <w:p w14:paraId="1FC8A14F">
            <w:pPr>
              <w:snapToGrid w:val="0"/>
              <w:spacing w:line="360" w:lineRule="auto"/>
              <w:ind w:left="420"/>
              <w:jc w:val="left"/>
              <w:rPr>
                <w:rFonts w:ascii="宋体" w:hAnsi="宋体"/>
                <w:b/>
                <w:szCs w:val="21"/>
              </w:rPr>
            </w:pPr>
            <w:r>
              <w:rPr>
                <w:rFonts w:hint="eastAsia" w:ascii="宋体" w:hAnsi="宋体"/>
                <w:bCs/>
                <w:szCs w:val="21"/>
              </w:rPr>
              <w:t>10.项目实施人员一览表（格式自拟）；</w:t>
            </w:r>
            <w:r>
              <w:rPr>
                <w:rFonts w:hint="eastAsia" w:ascii="宋体" w:hAnsi="宋体"/>
                <w:b/>
                <w:szCs w:val="21"/>
              </w:rPr>
              <w:t>（如有，请提供）</w:t>
            </w:r>
          </w:p>
          <w:p w14:paraId="583235C2">
            <w:pPr>
              <w:snapToGrid w:val="0"/>
              <w:spacing w:line="360" w:lineRule="auto"/>
              <w:ind w:left="420"/>
              <w:jc w:val="left"/>
              <w:rPr>
                <w:rFonts w:ascii="宋体" w:hAnsi="宋体"/>
                <w:szCs w:val="21"/>
              </w:rPr>
            </w:pPr>
            <w:r>
              <w:rPr>
                <w:rFonts w:hint="eastAsia" w:ascii="宋体" w:hAnsi="宋体"/>
                <w:szCs w:val="21"/>
              </w:rPr>
              <w:t>11.选配件、专用耗材、售后服务优惠表格式（格式后附）</w:t>
            </w:r>
            <w:r>
              <w:rPr>
                <w:rFonts w:hint="eastAsia" w:ascii="宋体" w:hAnsi="宋体"/>
                <w:b/>
                <w:bCs/>
                <w:szCs w:val="21"/>
              </w:rPr>
              <w:t>（如有，请提供）</w:t>
            </w:r>
          </w:p>
          <w:p w14:paraId="489F6103">
            <w:pPr>
              <w:snapToGrid w:val="0"/>
              <w:spacing w:line="360" w:lineRule="auto"/>
              <w:ind w:left="420"/>
              <w:jc w:val="left"/>
              <w:rPr>
                <w:rFonts w:ascii="宋体" w:hAnsi="宋体"/>
                <w:szCs w:val="21"/>
              </w:rPr>
            </w:pPr>
            <w:r>
              <w:rPr>
                <w:rFonts w:hint="eastAsia" w:ascii="宋体" w:hAnsi="宋体"/>
                <w:szCs w:val="21"/>
              </w:rPr>
              <w:t>12.</w:t>
            </w:r>
            <w:r>
              <w:rPr>
                <w:rFonts w:hint="eastAsia" w:ascii="宋体" w:hAnsi="宋体" w:cs="宋体"/>
                <w:szCs w:val="21"/>
              </w:rPr>
              <w:t>符合政府采购政策价格扣除证明材料（格式后附）；</w:t>
            </w:r>
            <w:r>
              <w:rPr>
                <w:rFonts w:hint="eastAsia" w:hAnsi="宋体"/>
                <w:b/>
                <w:kern w:val="0"/>
              </w:rPr>
              <w:t>（如有，请提供）</w:t>
            </w:r>
          </w:p>
          <w:p w14:paraId="74269535">
            <w:pPr>
              <w:snapToGrid w:val="0"/>
              <w:spacing w:line="360" w:lineRule="auto"/>
              <w:ind w:left="413"/>
              <w:jc w:val="left"/>
              <w:rPr>
                <w:rFonts w:ascii="宋体" w:hAnsi="宋体"/>
                <w:szCs w:val="21"/>
              </w:rPr>
            </w:pPr>
            <w:r>
              <w:rPr>
                <w:rFonts w:hint="eastAsia" w:ascii="宋体" w:hAnsi="宋体"/>
                <w:szCs w:val="21"/>
              </w:rPr>
              <w:t>13.除招标文件规定必须提供以外，投标人认为需要提供的其他证明材料（格式自拟）。（投标人根据“第二章 采购需求”及“第四章 评标方法及评标标准”提供有关证明材料）。</w:t>
            </w:r>
          </w:p>
          <w:p w14:paraId="4313122E">
            <w:pPr>
              <w:snapToGrid w:val="0"/>
              <w:spacing w:line="360" w:lineRule="auto"/>
              <w:jc w:val="left"/>
              <w:rPr>
                <w:rFonts w:ascii="宋体" w:hAnsi="宋体"/>
                <w:b/>
                <w:bCs/>
                <w:szCs w:val="21"/>
              </w:rPr>
            </w:pPr>
            <w:r>
              <w:rPr>
                <w:rFonts w:hint="eastAsia" w:ascii="宋体" w:hAnsi="宋体"/>
                <w:b/>
                <w:bCs/>
                <w:szCs w:val="21"/>
              </w:rPr>
              <w:t>注：1.法定代表人授权委托书必须由法定代表人及委托代理人签字，并加盖投标人公章或电子公章，否则作无效投标处理。</w:t>
            </w:r>
          </w:p>
          <w:p w14:paraId="4F5FB5C7">
            <w:pPr>
              <w:snapToGrid w:val="0"/>
              <w:spacing w:line="360" w:lineRule="auto"/>
              <w:ind w:firstLine="422" w:firstLineChars="200"/>
              <w:jc w:val="left"/>
              <w:rPr>
                <w:rFonts w:ascii="宋体" w:hAnsi="宋体" w:cs="Courier New"/>
                <w:b/>
                <w:szCs w:val="21"/>
              </w:rPr>
            </w:pPr>
            <w:r>
              <w:rPr>
                <w:rFonts w:hint="eastAsia" w:ascii="宋体" w:hAnsi="宋体"/>
                <w:b/>
                <w:bCs/>
                <w:szCs w:val="21"/>
              </w:rPr>
              <w:t>2.以上标明“必须提供”的材料属于复印件的，必须加盖投标人公章或电子公章，否则</w:t>
            </w:r>
            <w:r>
              <w:rPr>
                <w:rFonts w:hint="eastAsia" w:ascii="宋体" w:hAnsi="宋体" w:cs="Courier New"/>
                <w:b/>
                <w:szCs w:val="21"/>
              </w:rPr>
              <w:t>作无效投标处理</w:t>
            </w:r>
            <w:r>
              <w:rPr>
                <w:rFonts w:hint="eastAsia" w:ascii="宋体" w:hAnsi="宋体"/>
                <w:b/>
                <w:bCs/>
                <w:szCs w:val="21"/>
              </w:rPr>
              <w:t>。</w:t>
            </w:r>
          </w:p>
        </w:tc>
      </w:tr>
      <w:tr w14:paraId="584C89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030EE020">
            <w:pPr>
              <w:spacing w:line="360" w:lineRule="auto"/>
              <w:rPr>
                <w:rFonts w:ascii="宋体" w:hAnsi="宋体"/>
                <w:szCs w:val="21"/>
              </w:rPr>
            </w:pPr>
            <w:bookmarkStart w:id="58" w:name="_16.2"/>
            <w:bookmarkEnd w:id="58"/>
            <w:bookmarkStart w:id="59" w:name="_13.4"/>
            <w:bookmarkEnd w:id="59"/>
            <w:bookmarkStart w:id="60" w:name="_13.5"/>
            <w:bookmarkEnd w:id="60"/>
            <w:r>
              <w:rPr>
                <w:rFonts w:hint="eastAsia" w:ascii="宋体" w:hAnsi="宋体"/>
                <w:szCs w:val="21"/>
              </w:rPr>
              <w:t>16</w:t>
            </w:r>
            <w:bookmarkStart w:id="61" w:name="_Hlt19194066"/>
            <w:bookmarkStart w:id="62" w:name="_Hlt19693758"/>
            <w:bookmarkStart w:id="63" w:name="_Hlt19693759"/>
            <w:bookmarkStart w:id="64" w:name="_Hlt19194067"/>
            <w:r>
              <w:rPr>
                <w:rFonts w:hint="eastAsia" w:ascii="宋体" w:hAnsi="宋体"/>
                <w:szCs w:val="21"/>
              </w:rPr>
              <w:t>.</w:t>
            </w:r>
            <w:bookmarkEnd w:id="61"/>
            <w:bookmarkEnd w:id="62"/>
            <w:bookmarkEnd w:id="63"/>
            <w:bookmarkEnd w:id="64"/>
            <w:r>
              <w:rPr>
                <w:rFonts w:hint="eastAsia" w:ascii="宋体" w:hAnsi="宋体"/>
                <w:szCs w:val="21"/>
              </w:rPr>
              <w:t>2</w:t>
            </w:r>
          </w:p>
        </w:tc>
        <w:tc>
          <w:tcPr>
            <w:tcW w:w="8597" w:type="dxa"/>
            <w:tcBorders>
              <w:top w:val="single" w:color="auto" w:sz="4" w:space="0"/>
              <w:left w:val="single" w:color="auto" w:sz="4" w:space="0"/>
              <w:bottom w:val="single" w:color="auto" w:sz="4" w:space="0"/>
              <w:right w:val="single" w:color="auto" w:sz="4" w:space="0"/>
            </w:tcBorders>
            <w:vAlign w:val="center"/>
          </w:tcPr>
          <w:p w14:paraId="732D8421">
            <w:pPr>
              <w:snapToGrid w:val="0"/>
              <w:spacing w:line="360" w:lineRule="auto"/>
              <w:rPr>
                <w:rFonts w:ascii="宋体" w:hAnsi="宋体"/>
                <w:bCs/>
                <w:szCs w:val="21"/>
              </w:rPr>
            </w:pPr>
            <w:r>
              <w:rPr>
                <w:rFonts w:hint="eastAsia" w:ascii="宋体" w:hAnsi="宋体"/>
                <w:bCs/>
                <w:szCs w:val="21"/>
              </w:rPr>
              <w:t>投标报价包含货物、货物标准附件、备品备件、专用工具、设备安装辅材、施工辅材、包装、运输、装卸、保险、货到就位的各种费用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明示或暗示的所有责任、义务和一般风险等一切费用。</w:t>
            </w:r>
          </w:p>
          <w:p w14:paraId="0802120F">
            <w:pPr>
              <w:snapToGrid w:val="0"/>
              <w:spacing w:line="360" w:lineRule="auto"/>
              <w:rPr>
                <w:rFonts w:ascii="宋体" w:hAnsi="宋体"/>
                <w:b/>
                <w:szCs w:val="21"/>
              </w:rPr>
            </w:pPr>
            <w:r>
              <w:rPr>
                <w:rFonts w:hint="eastAsia" w:ascii="宋体" w:hAnsi="宋体"/>
                <w:b/>
                <w:szCs w:val="21"/>
              </w:rPr>
              <w:t>☑投标报价包含验收费用</w:t>
            </w:r>
          </w:p>
          <w:p w14:paraId="54CF01B4">
            <w:pPr>
              <w:snapToGrid w:val="0"/>
              <w:spacing w:line="360" w:lineRule="auto"/>
              <w:rPr>
                <w:rFonts w:ascii="宋体" w:hAnsi="宋体"/>
                <w:b/>
                <w:szCs w:val="21"/>
              </w:rPr>
            </w:pPr>
            <w:r>
              <w:rPr>
                <w:rFonts w:hint="eastAsia" w:ascii="宋体" w:hAnsi="宋体"/>
                <w:b/>
                <w:szCs w:val="21"/>
              </w:rPr>
              <w:t>□投标报价不包含验收费用</w:t>
            </w:r>
          </w:p>
        </w:tc>
      </w:tr>
      <w:tr w14:paraId="2BEA3A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34C5DF97">
            <w:pPr>
              <w:spacing w:line="360" w:lineRule="auto"/>
              <w:rPr>
                <w:rFonts w:ascii="宋体" w:hAnsi="宋体"/>
                <w:szCs w:val="21"/>
              </w:rPr>
            </w:pPr>
            <w:bookmarkStart w:id="65" w:name="_17.1"/>
            <w:bookmarkEnd w:id="65"/>
            <w:r>
              <w:rPr>
                <w:rFonts w:hint="eastAsia" w:ascii="宋体" w:hAnsi="宋体"/>
                <w:szCs w:val="21"/>
              </w:rPr>
              <w:t>17.</w:t>
            </w:r>
            <w:r>
              <w:rPr>
                <w:rFonts w:ascii="宋体" w:hAnsi="宋体"/>
                <w:szCs w:val="21"/>
              </w:rPr>
              <w:t>2</w:t>
            </w:r>
          </w:p>
        </w:tc>
        <w:tc>
          <w:tcPr>
            <w:tcW w:w="8597" w:type="dxa"/>
            <w:tcBorders>
              <w:top w:val="single" w:color="auto" w:sz="4" w:space="0"/>
              <w:left w:val="single" w:color="auto" w:sz="4" w:space="0"/>
              <w:bottom w:val="single" w:color="auto" w:sz="4" w:space="0"/>
              <w:right w:val="single" w:color="auto" w:sz="4" w:space="0"/>
            </w:tcBorders>
            <w:vAlign w:val="center"/>
          </w:tcPr>
          <w:p w14:paraId="013A56D1">
            <w:pPr>
              <w:snapToGrid w:val="0"/>
              <w:spacing w:line="360" w:lineRule="auto"/>
              <w:rPr>
                <w:rFonts w:ascii="宋体" w:hAnsi="宋体"/>
                <w:szCs w:val="21"/>
              </w:rPr>
            </w:pPr>
            <w:r>
              <w:rPr>
                <w:rFonts w:hint="eastAsia" w:ascii="宋体" w:hAnsi="宋体"/>
                <w:szCs w:val="21"/>
              </w:rPr>
              <w:t>投标有效期：自投标截止之日起</w:t>
            </w:r>
            <w:r>
              <w:rPr>
                <w:rFonts w:hint="eastAsia" w:ascii="宋体" w:hAnsi="宋体"/>
                <w:szCs w:val="21"/>
                <w:u w:val="single"/>
              </w:rPr>
              <w:t>90</w:t>
            </w:r>
            <w:r>
              <w:rPr>
                <w:rFonts w:hint="eastAsia" w:ascii="宋体" w:hAnsi="宋体"/>
                <w:szCs w:val="21"/>
              </w:rPr>
              <w:t>日。</w:t>
            </w:r>
          </w:p>
        </w:tc>
      </w:tr>
      <w:tr w14:paraId="5AC1E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E93BE29">
            <w:pPr>
              <w:spacing w:line="360" w:lineRule="auto"/>
              <w:rPr>
                <w:rFonts w:ascii="宋体" w:hAnsi="宋体"/>
                <w:szCs w:val="21"/>
              </w:rPr>
            </w:pPr>
            <w:bookmarkStart w:id="66" w:name="_18"/>
            <w:bookmarkEnd w:id="66"/>
            <w:r>
              <w:rPr>
                <w:rFonts w:hint="eastAsia" w:ascii="宋体" w:hAnsi="宋体"/>
                <w:szCs w:val="21"/>
              </w:rPr>
              <w:t>18</w:t>
            </w:r>
            <w:r>
              <w:rPr>
                <w:rFonts w:ascii="宋体" w:hAnsi="宋体"/>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7516E600">
            <w:pPr>
              <w:autoSpaceDE w:val="0"/>
              <w:autoSpaceDN w:val="0"/>
              <w:snapToGrid w:val="0"/>
              <w:spacing w:line="360" w:lineRule="auto"/>
              <w:textAlignment w:val="bottom"/>
              <w:rPr>
                <w:rFonts w:ascii="宋体" w:hAnsi="宋体"/>
                <w:b/>
                <w:szCs w:val="21"/>
              </w:rPr>
            </w:pPr>
            <w:r>
              <w:rPr>
                <w:rFonts w:hint="eastAsia" w:ascii="宋体" w:hAnsi="宋体"/>
                <w:szCs w:val="21"/>
              </w:rPr>
              <w:t>☑本项目不收取投标保证金。</w:t>
            </w:r>
          </w:p>
        </w:tc>
      </w:tr>
      <w:tr w14:paraId="7B25D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5D03EAF8">
            <w:pPr>
              <w:spacing w:line="360" w:lineRule="auto"/>
              <w:rPr>
                <w:rFonts w:ascii="宋体" w:hAnsi="宋体"/>
                <w:szCs w:val="21"/>
              </w:rPr>
            </w:pPr>
            <w:bookmarkStart w:id="67" w:name="_19.2"/>
            <w:bookmarkEnd w:id="67"/>
            <w:r>
              <w:rPr>
                <w:rFonts w:hint="eastAsia" w:ascii="宋体" w:hAnsi="宋体"/>
                <w:szCs w:val="21"/>
              </w:rPr>
              <w:t>19.1</w:t>
            </w:r>
          </w:p>
        </w:tc>
        <w:tc>
          <w:tcPr>
            <w:tcW w:w="8597" w:type="dxa"/>
            <w:tcBorders>
              <w:top w:val="single" w:color="auto" w:sz="4" w:space="0"/>
              <w:left w:val="single" w:color="auto" w:sz="4" w:space="0"/>
              <w:bottom w:val="single" w:color="auto" w:sz="4" w:space="0"/>
              <w:right w:val="single" w:color="auto" w:sz="4" w:space="0"/>
            </w:tcBorders>
            <w:vAlign w:val="center"/>
          </w:tcPr>
          <w:p w14:paraId="103E58B3">
            <w:pPr>
              <w:autoSpaceDE w:val="0"/>
              <w:autoSpaceDN w:val="0"/>
              <w:snapToGrid w:val="0"/>
              <w:spacing w:line="360" w:lineRule="auto"/>
              <w:textAlignment w:val="bottom"/>
              <w:rPr>
                <w:rFonts w:ascii="宋体" w:hAnsi="宋体" w:cs="宋体"/>
                <w:b/>
                <w:bCs/>
                <w:szCs w:val="21"/>
              </w:rPr>
            </w:pPr>
            <w:r>
              <w:rPr>
                <w:rFonts w:hint="eastAsia" w:ascii="宋体" w:hAnsi="宋体" w:cs="宋体"/>
                <w:b/>
                <w:bCs/>
                <w:szCs w:val="21"/>
              </w:rPr>
              <w:t>投标文件编制要求：</w:t>
            </w:r>
          </w:p>
          <w:p w14:paraId="55CEB4C4">
            <w:pPr>
              <w:autoSpaceDE w:val="0"/>
              <w:autoSpaceDN w:val="0"/>
              <w:snapToGrid w:val="0"/>
              <w:spacing w:line="360" w:lineRule="auto"/>
              <w:textAlignment w:val="bottom"/>
              <w:rPr>
                <w:rFonts w:ascii="宋体" w:hAnsi="宋体"/>
                <w:szCs w:val="21"/>
              </w:rPr>
            </w:pPr>
            <w:r>
              <w:rPr>
                <w:rFonts w:hint="eastAsia" w:ascii="宋体" w:hAnsi="宋体" w:cs="宋体"/>
                <w:szCs w:val="21"/>
              </w:rPr>
              <w:t>投标文件应按报价文件、资格证明文件、商务技术文件分别编制，分别生成电子文件。</w:t>
            </w:r>
          </w:p>
        </w:tc>
      </w:tr>
      <w:tr w14:paraId="575419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968" w:type="dxa"/>
            <w:tcBorders>
              <w:top w:val="single" w:color="auto" w:sz="4" w:space="0"/>
              <w:left w:val="single" w:color="auto" w:sz="4" w:space="0"/>
              <w:bottom w:val="single" w:color="auto" w:sz="4" w:space="0"/>
              <w:right w:val="single" w:color="auto" w:sz="4" w:space="0"/>
            </w:tcBorders>
            <w:vAlign w:val="center"/>
          </w:tcPr>
          <w:p w14:paraId="7EBF29BE">
            <w:pPr>
              <w:spacing w:line="360" w:lineRule="auto"/>
              <w:rPr>
                <w:rFonts w:ascii="宋体" w:hAnsi="宋体"/>
                <w:szCs w:val="21"/>
              </w:rPr>
            </w:pPr>
            <w:bookmarkStart w:id="68" w:name="_21.1"/>
            <w:bookmarkEnd w:id="68"/>
            <w:r>
              <w:rPr>
                <w:rFonts w:hint="eastAsia" w:ascii="宋体" w:hAnsi="宋体"/>
                <w:szCs w:val="21"/>
              </w:rPr>
              <w:t>21.1</w:t>
            </w:r>
          </w:p>
        </w:tc>
        <w:tc>
          <w:tcPr>
            <w:tcW w:w="8597" w:type="dxa"/>
            <w:tcBorders>
              <w:top w:val="single" w:color="auto" w:sz="4" w:space="0"/>
              <w:left w:val="single" w:color="auto" w:sz="4" w:space="0"/>
              <w:bottom w:val="single" w:color="auto" w:sz="4" w:space="0"/>
              <w:right w:val="single" w:color="auto" w:sz="4" w:space="0"/>
            </w:tcBorders>
            <w:vAlign w:val="center"/>
          </w:tcPr>
          <w:p w14:paraId="6233F785">
            <w:pPr>
              <w:snapToGrid w:val="0"/>
              <w:spacing w:line="360" w:lineRule="auto"/>
              <w:rPr>
                <w:rFonts w:ascii="宋体" w:hAnsi="宋体"/>
                <w:szCs w:val="21"/>
                <w:u w:val="single"/>
              </w:rPr>
            </w:pPr>
            <w:r>
              <w:rPr>
                <w:rFonts w:hint="eastAsia" w:ascii="宋体" w:hAnsi="宋体"/>
                <w:szCs w:val="21"/>
              </w:rPr>
              <w:t>1.投标截止时间：详见招标公告</w:t>
            </w:r>
          </w:p>
          <w:p w14:paraId="327B28F4">
            <w:pPr>
              <w:snapToGrid w:val="0"/>
              <w:spacing w:line="360" w:lineRule="auto"/>
              <w:rPr>
                <w:rFonts w:ascii="宋体" w:hAnsi="宋体"/>
                <w:szCs w:val="21"/>
              </w:rPr>
            </w:pPr>
            <w:r>
              <w:rPr>
                <w:rFonts w:hint="eastAsia" w:ascii="宋体" w:hAnsi="宋体"/>
                <w:szCs w:val="21"/>
              </w:rPr>
              <w:t>2.投标文件提交起止时间：详见招标公告</w:t>
            </w:r>
          </w:p>
          <w:p w14:paraId="2FD5A050">
            <w:pPr>
              <w:snapToGrid w:val="0"/>
              <w:spacing w:line="360" w:lineRule="auto"/>
              <w:rPr>
                <w:rFonts w:ascii="宋体" w:hAnsi="宋体"/>
                <w:szCs w:val="21"/>
              </w:rPr>
            </w:pPr>
            <w:r>
              <w:rPr>
                <w:rFonts w:hint="eastAsia" w:ascii="宋体" w:hAnsi="宋体"/>
                <w:szCs w:val="21"/>
              </w:rPr>
              <w:t>3.投标地点：详见招标公告</w:t>
            </w:r>
          </w:p>
        </w:tc>
      </w:tr>
      <w:tr w14:paraId="76F1EF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72569F5D">
            <w:pPr>
              <w:spacing w:line="360" w:lineRule="auto"/>
              <w:rPr>
                <w:rFonts w:ascii="宋体" w:hAnsi="宋体"/>
                <w:szCs w:val="21"/>
              </w:rPr>
            </w:pPr>
            <w:bookmarkStart w:id="69" w:name="_23"/>
            <w:bookmarkEnd w:id="69"/>
            <w:r>
              <w:rPr>
                <w:rFonts w:hint="eastAsia" w:ascii="宋体" w:hAnsi="宋体"/>
                <w:szCs w:val="21"/>
              </w:rPr>
              <w:t>23</w:t>
            </w:r>
          </w:p>
        </w:tc>
        <w:tc>
          <w:tcPr>
            <w:tcW w:w="8597" w:type="dxa"/>
            <w:tcBorders>
              <w:top w:val="single" w:color="auto" w:sz="4" w:space="0"/>
              <w:left w:val="single" w:color="auto" w:sz="4" w:space="0"/>
              <w:bottom w:val="single" w:color="auto" w:sz="4" w:space="0"/>
              <w:right w:val="single" w:color="auto" w:sz="4" w:space="0"/>
            </w:tcBorders>
            <w:vAlign w:val="center"/>
          </w:tcPr>
          <w:p w14:paraId="0D19C78E">
            <w:pPr>
              <w:snapToGrid w:val="0"/>
              <w:spacing w:line="360" w:lineRule="auto"/>
              <w:rPr>
                <w:rFonts w:ascii="宋体" w:hAnsi="宋体"/>
                <w:szCs w:val="21"/>
              </w:rPr>
            </w:pPr>
            <w:r>
              <w:rPr>
                <w:rFonts w:hint="eastAsia" w:ascii="宋体" w:hAnsi="宋体"/>
                <w:szCs w:val="21"/>
              </w:rPr>
              <w:t>1.开标时间：详见招标公告</w:t>
            </w:r>
          </w:p>
          <w:p w14:paraId="4F016BDE">
            <w:pPr>
              <w:snapToGrid w:val="0"/>
              <w:spacing w:line="360" w:lineRule="auto"/>
              <w:rPr>
                <w:rFonts w:ascii="宋体" w:hAnsi="宋体"/>
                <w:szCs w:val="21"/>
              </w:rPr>
            </w:pPr>
            <w:r>
              <w:rPr>
                <w:rFonts w:hint="eastAsia" w:ascii="宋体" w:hAnsi="宋体"/>
                <w:szCs w:val="21"/>
              </w:rPr>
              <w:t>2.开标地点：详见招标公告</w:t>
            </w:r>
          </w:p>
        </w:tc>
      </w:tr>
      <w:tr w14:paraId="43E933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204372C0">
            <w:pPr>
              <w:spacing w:line="360" w:lineRule="auto"/>
              <w:rPr>
                <w:rFonts w:ascii="宋体" w:hAnsi="宋体"/>
                <w:szCs w:val="21"/>
              </w:rPr>
            </w:pPr>
            <w:bookmarkStart w:id="70" w:name="_25.3"/>
            <w:bookmarkEnd w:id="70"/>
            <w:r>
              <w:rPr>
                <w:rFonts w:hint="eastAsia" w:ascii="宋体" w:hAnsi="宋体"/>
                <w:szCs w:val="21"/>
              </w:rPr>
              <w:t>25.3（2）</w:t>
            </w:r>
          </w:p>
        </w:tc>
        <w:tc>
          <w:tcPr>
            <w:tcW w:w="8597" w:type="dxa"/>
            <w:tcBorders>
              <w:top w:val="single" w:color="auto" w:sz="4" w:space="0"/>
              <w:left w:val="single" w:color="auto" w:sz="4" w:space="0"/>
              <w:bottom w:val="single" w:color="auto" w:sz="4" w:space="0"/>
              <w:right w:val="single" w:color="auto" w:sz="4" w:space="0"/>
            </w:tcBorders>
            <w:vAlign w:val="center"/>
          </w:tcPr>
          <w:p w14:paraId="0D01FF5A">
            <w:pPr>
              <w:snapToGrid w:val="0"/>
              <w:spacing w:line="360" w:lineRule="auto"/>
              <w:rPr>
                <w:rFonts w:ascii="宋体" w:hAnsi="宋体"/>
                <w:szCs w:val="21"/>
              </w:rPr>
            </w:pPr>
            <w:r>
              <w:rPr>
                <w:rFonts w:hint="eastAsia" w:ascii="宋体" w:hAnsi="宋体"/>
                <w:szCs w:val="21"/>
              </w:rPr>
              <w:t>采购人或者采购代理机构在资格审查结束前，对投标人进行信用查询。</w:t>
            </w:r>
          </w:p>
          <w:p w14:paraId="4D366DEB">
            <w:pPr>
              <w:snapToGrid w:val="0"/>
              <w:spacing w:line="360" w:lineRule="auto"/>
              <w:rPr>
                <w:rFonts w:ascii="宋体" w:hAnsi="宋体"/>
                <w:szCs w:val="21"/>
              </w:rPr>
            </w:pPr>
            <w:r>
              <w:rPr>
                <w:rFonts w:hint="eastAsia" w:ascii="宋体" w:hAnsi="宋体"/>
                <w:b/>
                <w:bCs/>
                <w:szCs w:val="21"/>
              </w:rPr>
              <w:t>查询渠道：</w:t>
            </w:r>
            <w:r>
              <w:rPr>
                <w:rFonts w:hint="eastAsia" w:ascii="宋体" w:hAnsi="宋体"/>
                <w:szCs w:val="21"/>
              </w:rPr>
              <w:t>“信用中国”网站(www.creditchina.gov.cn) 、中国政府采购网(www.ccgp.gov.cn)》。</w:t>
            </w:r>
          </w:p>
          <w:p w14:paraId="6CA1E801">
            <w:pPr>
              <w:snapToGrid w:val="0"/>
              <w:spacing w:line="360" w:lineRule="auto"/>
              <w:rPr>
                <w:rFonts w:ascii="宋体" w:hAnsi="宋体"/>
                <w:szCs w:val="21"/>
              </w:rPr>
            </w:pPr>
            <w:r>
              <w:rPr>
                <w:rFonts w:hint="eastAsia" w:ascii="宋体" w:hAnsi="宋体"/>
                <w:b/>
                <w:bCs/>
                <w:szCs w:val="21"/>
              </w:rPr>
              <w:t>信用查询截止时点：</w:t>
            </w:r>
            <w:r>
              <w:rPr>
                <w:rFonts w:hint="eastAsia" w:ascii="宋体" w:hAnsi="宋体"/>
                <w:szCs w:val="21"/>
              </w:rPr>
              <w:t>资格审查结束前</w:t>
            </w:r>
          </w:p>
          <w:p w14:paraId="0A8218A8">
            <w:pPr>
              <w:snapToGrid w:val="0"/>
              <w:spacing w:line="360" w:lineRule="auto"/>
              <w:rPr>
                <w:rFonts w:ascii="宋体" w:hAnsi="宋体"/>
                <w:szCs w:val="21"/>
              </w:rPr>
            </w:pPr>
            <w:r>
              <w:rPr>
                <w:rFonts w:hint="eastAsia" w:ascii="宋体" w:hAnsi="宋体"/>
                <w:b/>
                <w:bCs/>
                <w:szCs w:val="21"/>
              </w:rPr>
              <w:t>查询记录和证据留存方式：</w:t>
            </w:r>
            <w:r>
              <w:rPr>
                <w:rFonts w:hint="eastAsia" w:ascii="宋体" w:hAnsi="宋体"/>
                <w:szCs w:val="21"/>
              </w:rPr>
              <w:t>在查询网站中直接打印查询记录，打印材料作为评审资料保存。</w:t>
            </w:r>
          </w:p>
          <w:p w14:paraId="1C1E7E38">
            <w:pPr>
              <w:snapToGrid w:val="0"/>
              <w:spacing w:line="360" w:lineRule="auto"/>
              <w:rPr>
                <w:rFonts w:ascii="宋体" w:hAnsi="宋体"/>
                <w:b/>
                <w:szCs w:val="21"/>
              </w:rPr>
            </w:pPr>
            <w:r>
              <w:rPr>
                <w:rFonts w:hint="eastAsia" w:ascii="宋体" w:hAnsi="宋体"/>
                <w:b/>
                <w:bCs/>
                <w:szCs w:val="21"/>
              </w:rPr>
              <w:t>信用信息使用规则：</w:t>
            </w:r>
            <w:r>
              <w:rPr>
                <w:rFonts w:hint="eastAsia" w:ascii="宋体" w:hAnsi="宋体"/>
                <w:szCs w:val="21"/>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w:t>
            </w:r>
            <w:r>
              <w:rPr>
                <w:rFonts w:hint="eastAsia"/>
                <w:sz w:val="22"/>
                <w:szCs w:val="22"/>
              </w:rPr>
              <w:t>应当拒绝其参与政府采购活动</w:t>
            </w:r>
            <w:r>
              <w:rPr>
                <w:rFonts w:hint="eastAsia" w:ascii="宋体" w:hAnsi="宋体"/>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9AAA9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22E5D0A9">
            <w:pPr>
              <w:spacing w:line="360" w:lineRule="auto"/>
              <w:rPr>
                <w:rFonts w:ascii="宋体" w:hAnsi="宋体"/>
                <w:szCs w:val="21"/>
              </w:rPr>
            </w:pPr>
            <w:bookmarkStart w:id="71" w:name="_26"/>
            <w:bookmarkEnd w:id="71"/>
            <w:r>
              <w:rPr>
                <w:rFonts w:hint="eastAsia" w:ascii="宋体" w:hAnsi="宋体"/>
                <w:szCs w:val="21"/>
              </w:rPr>
              <w:t>26</w:t>
            </w:r>
          </w:p>
        </w:tc>
        <w:tc>
          <w:tcPr>
            <w:tcW w:w="8597" w:type="dxa"/>
            <w:tcBorders>
              <w:top w:val="single" w:color="auto" w:sz="4" w:space="0"/>
              <w:left w:val="single" w:color="auto" w:sz="4" w:space="0"/>
              <w:bottom w:val="single" w:color="auto" w:sz="4" w:space="0"/>
              <w:right w:val="single" w:color="auto" w:sz="4" w:space="0"/>
            </w:tcBorders>
            <w:vAlign w:val="center"/>
          </w:tcPr>
          <w:p w14:paraId="39C4825D">
            <w:pPr>
              <w:autoSpaceDE w:val="0"/>
              <w:autoSpaceDN w:val="0"/>
              <w:snapToGrid w:val="0"/>
              <w:spacing w:line="360" w:lineRule="auto"/>
              <w:textAlignment w:val="bottom"/>
              <w:rPr>
                <w:rFonts w:ascii="宋体" w:hAnsi="宋体"/>
                <w:szCs w:val="21"/>
              </w:rPr>
            </w:pPr>
            <w:r>
              <w:rPr>
                <w:rFonts w:hint="eastAsia" w:ascii="宋体" w:hAnsi="宋体"/>
                <w:szCs w:val="21"/>
              </w:rPr>
              <w:t>评标委员会的人数：</w:t>
            </w:r>
            <w:r>
              <w:rPr>
                <w:rFonts w:hint="eastAsia" w:ascii="宋体" w:hAnsi="宋体"/>
                <w:szCs w:val="21"/>
                <w:u w:val="single"/>
              </w:rPr>
              <w:t xml:space="preserve">  5 </w:t>
            </w:r>
            <w:r>
              <w:rPr>
                <w:rFonts w:hint="eastAsia" w:ascii="宋体" w:hAnsi="宋体"/>
                <w:szCs w:val="21"/>
              </w:rPr>
              <w:t>人</w:t>
            </w:r>
          </w:p>
        </w:tc>
      </w:tr>
      <w:tr w14:paraId="4AFF36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1E6E9485">
            <w:pPr>
              <w:spacing w:line="360" w:lineRule="auto"/>
              <w:rPr>
                <w:rFonts w:ascii="宋体" w:hAnsi="宋体"/>
                <w:szCs w:val="21"/>
              </w:rPr>
            </w:pPr>
            <w:bookmarkStart w:id="72" w:name="_28.3"/>
            <w:bookmarkEnd w:id="72"/>
            <w:r>
              <w:rPr>
                <w:rFonts w:ascii="宋体" w:hAnsi="宋体"/>
                <w:szCs w:val="21"/>
              </w:rPr>
              <w:t>29.1</w:t>
            </w:r>
          </w:p>
        </w:tc>
        <w:tc>
          <w:tcPr>
            <w:tcW w:w="8597" w:type="dxa"/>
            <w:tcBorders>
              <w:top w:val="single" w:color="auto" w:sz="4" w:space="0"/>
              <w:left w:val="single" w:color="auto" w:sz="4" w:space="0"/>
              <w:bottom w:val="single" w:color="auto" w:sz="4" w:space="0"/>
              <w:right w:val="single" w:color="auto" w:sz="4" w:space="0"/>
            </w:tcBorders>
            <w:vAlign w:val="center"/>
          </w:tcPr>
          <w:p w14:paraId="656898F3">
            <w:pPr>
              <w:autoSpaceDE w:val="0"/>
              <w:autoSpaceDN w:val="0"/>
              <w:snapToGrid w:val="0"/>
              <w:spacing w:line="360" w:lineRule="auto"/>
              <w:textAlignment w:val="bottom"/>
              <w:rPr>
                <w:rFonts w:ascii="宋体" w:hAnsi="宋体"/>
                <w:szCs w:val="21"/>
              </w:rPr>
            </w:pPr>
            <w:r>
              <w:rPr>
                <w:rFonts w:hint="eastAsia" w:ascii="宋体" w:hAnsi="宋体"/>
                <w:szCs w:val="21"/>
              </w:rPr>
              <w:t>评标方法：</w:t>
            </w:r>
          </w:p>
          <w:p w14:paraId="1AD1F03A">
            <w:pPr>
              <w:autoSpaceDE w:val="0"/>
              <w:autoSpaceDN w:val="0"/>
              <w:snapToGrid w:val="0"/>
              <w:spacing w:line="360" w:lineRule="auto"/>
              <w:textAlignment w:val="bottom"/>
              <w:rPr>
                <w:rFonts w:ascii="宋体" w:hAnsi="宋体"/>
                <w:szCs w:val="21"/>
              </w:rPr>
            </w:pPr>
            <w:r>
              <w:rPr>
                <w:rFonts w:hint="eastAsia" w:ascii="宋体" w:hAnsi="宋体"/>
                <w:szCs w:val="21"/>
              </w:rPr>
              <w:t>☑综合评分法</w:t>
            </w:r>
          </w:p>
          <w:p w14:paraId="697997A4">
            <w:pPr>
              <w:autoSpaceDE w:val="0"/>
              <w:autoSpaceDN w:val="0"/>
              <w:snapToGrid w:val="0"/>
              <w:spacing w:line="360" w:lineRule="auto"/>
              <w:textAlignment w:val="bottom"/>
              <w:rPr>
                <w:rFonts w:ascii="宋体" w:hAnsi="宋体"/>
                <w:szCs w:val="21"/>
              </w:rPr>
            </w:pPr>
            <w:r>
              <w:rPr>
                <w:rFonts w:hint="eastAsia" w:ascii="宋体" w:hAnsi="宋体"/>
                <w:szCs w:val="21"/>
              </w:rPr>
              <w:t>□最低评标价法</w:t>
            </w:r>
          </w:p>
        </w:tc>
      </w:tr>
      <w:tr w14:paraId="042C71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28148A68">
            <w:pPr>
              <w:spacing w:line="360" w:lineRule="auto"/>
              <w:rPr>
                <w:rFonts w:ascii="宋体" w:hAnsi="宋体"/>
                <w:szCs w:val="21"/>
              </w:rPr>
            </w:pPr>
            <w:bookmarkStart w:id="73" w:name="_29.2.2（2）"/>
            <w:bookmarkEnd w:id="73"/>
            <w:r>
              <w:rPr>
                <w:rFonts w:hint="eastAsia" w:ascii="宋体" w:hAnsi="宋体"/>
                <w:szCs w:val="21"/>
              </w:rPr>
              <w:t>30</w:t>
            </w:r>
            <w:r>
              <w:rPr>
                <w:rFonts w:ascii="宋体" w:hAnsi="宋体"/>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0951E4E7">
            <w:pPr>
              <w:autoSpaceDE w:val="0"/>
              <w:autoSpaceDN w:val="0"/>
              <w:snapToGrid w:val="0"/>
              <w:spacing w:line="360" w:lineRule="auto"/>
              <w:textAlignment w:val="bottom"/>
              <w:rPr>
                <w:rFonts w:ascii="宋体" w:hAnsi="宋体"/>
                <w:szCs w:val="21"/>
              </w:rPr>
            </w:pPr>
            <w:r>
              <w:rPr>
                <w:rFonts w:hint="eastAsia" w:ascii="宋体" w:hAnsi="宋体"/>
                <w:szCs w:val="21"/>
              </w:rPr>
              <w:t>采购人确定中标人时，出现中标候选人并列的情形，采购人按以下的方式确定中标人：</w:t>
            </w:r>
          </w:p>
          <w:p w14:paraId="233DBF6A">
            <w:pPr>
              <w:autoSpaceDE w:val="0"/>
              <w:autoSpaceDN w:val="0"/>
              <w:snapToGrid w:val="0"/>
              <w:spacing w:line="360" w:lineRule="auto"/>
              <w:textAlignment w:val="bottom"/>
              <w:rPr>
                <w:rFonts w:ascii="宋体" w:hAnsi="宋体"/>
                <w:szCs w:val="21"/>
              </w:rPr>
            </w:pPr>
            <w:r>
              <w:rPr>
                <w:rFonts w:hint="eastAsia" w:ascii="宋体" w:hAnsi="宋体"/>
                <w:szCs w:val="21"/>
              </w:rPr>
              <w:t>☑</w:t>
            </w:r>
            <w:r>
              <w:rPr>
                <w:rFonts w:hint="eastAsia" w:ascii="宋体" w:hAnsi="宋体" w:cs="宋体"/>
                <w:b/>
                <w:szCs w:val="21"/>
              </w:rPr>
              <w:t>依次按投标报价低的优先、技术评分高的优先、商务评分高的优先的顺序确定；</w:t>
            </w:r>
          </w:p>
          <w:p w14:paraId="5F80BD41">
            <w:pPr>
              <w:snapToGrid w:val="0"/>
              <w:spacing w:line="360" w:lineRule="auto"/>
              <w:rPr>
                <w:rFonts w:ascii="宋体" w:hAnsi="宋体"/>
                <w:b/>
                <w:szCs w:val="21"/>
              </w:rPr>
            </w:pPr>
            <w:r>
              <w:rPr>
                <w:rFonts w:hint="eastAsia" w:ascii="宋体" w:hAnsi="宋体"/>
                <w:szCs w:val="21"/>
              </w:rPr>
              <w:t>□随机抽取</w:t>
            </w:r>
          </w:p>
        </w:tc>
      </w:tr>
      <w:tr w14:paraId="091E5A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8" w:type="dxa"/>
            <w:tcBorders>
              <w:top w:val="single" w:color="auto" w:sz="4" w:space="0"/>
              <w:left w:val="single" w:color="auto" w:sz="4" w:space="0"/>
              <w:bottom w:val="single" w:color="auto" w:sz="4" w:space="0"/>
              <w:right w:val="single" w:color="auto" w:sz="4" w:space="0"/>
            </w:tcBorders>
            <w:vAlign w:val="center"/>
          </w:tcPr>
          <w:p w14:paraId="2BB62C51">
            <w:pPr>
              <w:spacing w:line="360" w:lineRule="auto"/>
              <w:rPr>
                <w:rFonts w:ascii="宋体" w:hAnsi="宋体"/>
                <w:szCs w:val="21"/>
              </w:rPr>
            </w:pPr>
            <w:bookmarkStart w:id="74" w:name="_39.1"/>
            <w:bookmarkEnd w:id="74"/>
            <w:r>
              <w:rPr>
                <w:rFonts w:hint="eastAsia" w:ascii="宋体" w:hAnsi="宋体"/>
                <w:szCs w:val="21"/>
              </w:rPr>
              <w:t>35</w:t>
            </w:r>
            <w:r>
              <w:rPr>
                <w:rFonts w:ascii="宋体" w:hAnsi="宋体"/>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1788208D">
            <w:pPr>
              <w:autoSpaceDE w:val="0"/>
              <w:autoSpaceDN w:val="0"/>
              <w:snapToGrid w:val="0"/>
              <w:spacing w:line="400" w:lineRule="exact"/>
              <w:textAlignment w:val="bottom"/>
              <w:rPr>
                <w:rFonts w:ascii="宋体" w:hAnsi="宋体"/>
                <w:szCs w:val="21"/>
              </w:rPr>
            </w:pPr>
            <w:r>
              <w:rPr>
                <w:rFonts w:hint="eastAsia" w:ascii="宋体" w:hAnsi="宋体"/>
                <w:szCs w:val="21"/>
              </w:rPr>
              <w:t>□本项目不收取履约保证金。</w:t>
            </w:r>
          </w:p>
          <w:p w14:paraId="4E3F5E5C">
            <w:pPr>
              <w:autoSpaceDE w:val="0"/>
              <w:autoSpaceDN w:val="0"/>
              <w:snapToGrid w:val="0"/>
              <w:spacing w:line="400" w:lineRule="exact"/>
              <w:textAlignment w:val="bottom"/>
              <w:rPr>
                <w:rFonts w:ascii="宋体" w:hAnsi="宋体"/>
                <w:szCs w:val="21"/>
              </w:rPr>
            </w:pPr>
            <w:r>
              <w:rPr>
                <w:rFonts w:hint="eastAsia" w:ascii="MS Mincho" w:hAnsi="MS Mincho" w:cs="MS Mincho"/>
                <w:szCs w:val="21"/>
              </w:rPr>
              <w:t>☑</w:t>
            </w:r>
            <w:r>
              <w:rPr>
                <w:rFonts w:hint="eastAsia" w:ascii="宋体" w:hAnsi="宋体"/>
                <w:szCs w:val="21"/>
              </w:rPr>
              <w:t>本项目收取履约保证金，具体规定如下：</w:t>
            </w:r>
          </w:p>
          <w:p w14:paraId="300A019D">
            <w:pPr>
              <w:pStyle w:val="10"/>
              <w:spacing w:after="120" w:line="400" w:lineRule="exact"/>
              <w:rPr>
                <w:rFonts w:ascii="宋体" w:hAnsi="宋体"/>
                <w:szCs w:val="21"/>
              </w:rPr>
            </w:pPr>
            <w:r>
              <w:rPr>
                <w:rFonts w:hint="eastAsia" w:ascii="宋体" w:hAnsi="宋体"/>
                <w:szCs w:val="21"/>
              </w:rPr>
              <w:t>履约保证金金额：</w:t>
            </w:r>
            <w:r>
              <w:rPr>
                <w:rFonts w:hint="eastAsia" w:ascii="宋体" w:hAnsi="宋体" w:cs="宋体"/>
                <w:szCs w:val="21"/>
              </w:rPr>
              <w:t>中标人在中标通知书发出后25日内且必须在签订合同前向采购人以银行转账、支票、汇票、本票或者银行、保险机构出具的保函等非现金方式一次性缴纳中标金额的5%（中标人为中小微企业时为中标金额的2%）作为履约保证金。</w:t>
            </w:r>
          </w:p>
          <w:p w14:paraId="23F784E8">
            <w:pPr>
              <w:autoSpaceDE w:val="0"/>
              <w:autoSpaceDN w:val="0"/>
              <w:snapToGrid w:val="0"/>
              <w:spacing w:line="400" w:lineRule="exact"/>
              <w:textAlignment w:val="bottom"/>
              <w:rPr>
                <w:rFonts w:ascii="宋体" w:hAnsi="宋体"/>
                <w:szCs w:val="21"/>
              </w:rPr>
            </w:pPr>
            <w:r>
              <w:rPr>
                <w:rFonts w:hint="eastAsia" w:ascii="宋体" w:hAnsi="宋体"/>
                <w:szCs w:val="21"/>
              </w:rPr>
              <w:t>履约保证金退付方式：（1）履约保证金待履行完合同约定的权利义务事项后（中标人承诺质保期满）且不存在争议的，采购人在5个工作日内无息返还履约保证金。由招标人凭《广西壮族自治区政府采购项目合同验收书》（详见桂财采〔2015〕22号）向采购人申请办理履约保证金退还手续。</w:t>
            </w:r>
          </w:p>
          <w:p w14:paraId="6E7743C0">
            <w:pPr>
              <w:autoSpaceDE w:val="0"/>
              <w:autoSpaceDN w:val="0"/>
              <w:snapToGrid w:val="0"/>
              <w:spacing w:line="400" w:lineRule="exact"/>
              <w:textAlignment w:val="bottom"/>
              <w:rPr>
                <w:rFonts w:ascii="宋体" w:hAnsi="宋体"/>
                <w:szCs w:val="21"/>
              </w:rPr>
            </w:pPr>
            <w:r>
              <w:rPr>
                <w:rFonts w:hint="eastAsia" w:ascii="宋体" w:hAnsi="宋体"/>
                <w:szCs w:val="21"/>
              </w:rPr>
              <w:t>（2）在履约保证金退还日期前，若成交供应商的开户名称、开户银行、账号有变动的，请以书面形式通知履约保证金收取单位，否则由此产生的后果由成交供应商自负。</w:t>
            </w:r>
          </w:p>
          <w:p w14:paraId="134F0920">
            <w:pPr>
              <w:autoSpaceDE w:val="0"/>
              <w:autoSpaceDN w:val="0"/>
              <w:snapToGrid w:val="0"/>
              <w:spacing w:line="400" w:lineRule="exact"/>
              <w:textAlignment w:val="bottom"/>
              <w:rPr>
                <w:rFonts w:ascii="宋体" w:hAnsi="宋体"/>
                <w:szCs w:val="21"/>
              </w:rPr>
            </w:pPr>
            <w:r>
              <w:rPr>
                <w:rFonts w:hint="eastAsia" w:ascii="宋体" w:hAnsi="宋体"/>
                <w:szCs w:val="21"/>
              </w:rPr>
              <w:t>（3）成交供应商在签订合同后存在违约情形的，履约保证金不予退还。履约保证金不足以赔偿损失的，按实际损失赔偿。</w:t>
            </w:r>
          </w:p>
          <w:p w14:paraId="3D44A7A1">
            <w:pPr>
              <w:autoSpaceDE w:val="0"/>
              <w:autoSpaceDN w:val="0"/>
              <w:snapToGrid w:val="0"/>
              <w:spacing w:line="360" w:lineRule="exact"/>
              <w:textAlignment w:val="bottom"/>
              <w:rPr>
                <w:rFonts w:ascii="宋体"/>
              </w:rPr>
            </w:pPr>
            <w:r>
              <w:rPr>
                <w:rFonts w:hint="eastAsia" w:ascii="宋体" w:hAnsi="宋体" w:cs="宋体"/>
                <w:kern w:val="0"/>
                <w:szCs w:val="21"/>
              </w:rPr>
              <w:t>履约保证金指定</w:t>
            </w:r>
            <w:r>
              <w:rPr>
                <w:rFonts w:hint="eastAsia" w:ascii="宋体" w:hAnsi="宋体" w:cs="宋体"/>
              </w:rPr>
              <w:t>账户：</w:t>
            </w:r>
          </w:p>
          <w:p w14:paraId="40506815">
            <w:pPr>
              <w:spacing w:line="400" w:lineRule="exact"/>
              <w:jc w:val="left"/>
              <w:rPr>
                <w:rFonts w:ascii="宋体" w:hAnsi="宋体" w:cs="宋体"/>
              </w:rPr>
            </w:pPr>
            <w:r>
              <w:rPr>
                <w:rFonts w:hint="eastAsia" w:ascii="宋体" w:hAnsi="宋体" w:cs="宋体"/>
              </w:rPr>
              <w:t>开户名称：广西师范大学</w:t>
            </w:r>
          </w:p>
          <w:p w14:paraId="2C9E8AEA">
            <w:pPr>
              <w:spacing w:line="400" w:lineRule="exact"/>
              <w:jc w:val="left"/>
              <w:rPr>
                <w:rFonts w:ascii="宋体" w:hAnsi="宋体" w:cs="宋体"/>
              </w:rPr>
            </w:pPr>
            <w:r>
              <w:rPr>
                <w:rFonts w:hint="eastAsia" w:ascii="宋体" w:hAnsi="宋体" w:cs="宋体"/>
              </w:rPr>
              <w:t>开户银行：中国工商银行股份有限公司桂林高新科技支行</w:t>
            </w:r>
          </w:p>
          <w:p w14:paraId="1FC4254E">
            <w:pPr>
              <w:spacing w:line="400" w:lineRule="exact"/>
              <w:jc w:val="left"/>
              <w:rPr>
                <w:rFonts w:ascii="宋体" w:hAnsi="宋体" w:cs="宋体"/>
              </w:rPr>
            </w:pPr>
            <w:r>
              <w:rPr>
                <w:rFonts w:hint="eastAsia" w:ascii="宋体" w:hAnsi="宋体" w:cs="宋体"/>
              </w:rPr>
              <w:t>银行账号：2103215109264004618</w:t>
            </w:r>
          </w:p>
          <w:p w14:paraId="3B25182C">
            <w:pPr>
              <w:spacing w:line="400" w:lineRule="exact"/>
              <w:jc w:val="left"/>
              <w:rPr>
                <w:rFonts w:ascii="宋体" w:hAnsi="宋体" w:cs="Courier New"/>
                <w:szCs w:val="21"/>
              </w:rPr>
            </w:pPr>
            <w:r>
              <w:rPr>
                <w:rFonts w:ascii="宋体" w:hAnsi="宋体" w:cs="Courier New"/>
                <w:szCs w:val="21"/>
              </w:rPr>
              <w:t>备注：</w:t>
            </w:r>
          </w:p>
          <w:p w14:paraId="4F54BDA8">
            <w:pPr>
              <w:spacing w:line="400" w:lineRule="exact"/>
              <w:jc w:val="left"/>
              <w:rPr>
                <w:rFonts w:ascii="宋体" w:hAnsi="宋体"/>
                <w:b/>
                <w:szCs w:val="21"/>
              </w:rPr>
            </w:pPr>
            <w:r>
              <w:rPr>
                <w:rFonts w:ascii="宋体" w:hAnsi="宋体"/>
                <w:b/>
                <w:szCs w:val="21"/>
              </w:rPr>
              <w:t>1.</w:t>
            </w:r>
            <w:r>
              <w:rPr>
                <w:rFonts w:hint="eastAsia" w:ascii="宋体" w:hAnsi="宋体"/>
                <w:b/>
                <w:szCs w:val="21"/>
              </w:rPr>
              <w:t>根据《广西壮族自治区财政厅关于进一步发挥政府采购政策功能促进企业发展的通知》（桂财采〔2022〕30号）规定，对中小企业收取的履约保证金数额不得超过政府采购合同金额的2%。采购人可根据供应商的资信等情况减免履约保证金。</w:t>
            </w:r>
          </w:p>
          <w:p w14:paraId="110453D4">
            <w:pPr>
              <w:spacing w:line="400" w:lineRule="exact"/>
              <w:jc w:val="left"/>
              <w:rPr>
                <w:rFonts w:ascii="宋体" w:hAnsi="宋体"/>
                <w:b/>
                <w:szCs w:val="21"/>
              </w:rPr>
            </w:pPr>
            <w:r>
              <w:rPr>
                <w:rFonts w:ascii="宋体" w:hAnsi="宋体"/>
                <w:b/>
                <w:szCs w:val="21"/>
              </w:rPr>
              <w:t>2.</w:t>
            </w:r>
            <w:r>
              <w:rPr>
                <w:rFonts w:hint="eastAsia" w:ascii="宋体" w:hAnsi="宋体"/>
                <w:b/>
                <w:szCs w:val="21"/>
              </w:rPr>
              <w:t>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1F6505F9">
            <w:pPr>
              <w:spacing w:line="400" w:lineRule="exact"/>
              <w:jc w:val="left"/>
            </w:pPr>
            <w:r>
              <w:rPr>
                <w:rFonts w:ascii="宋体" w:hAnsi="宋体"/>
                <w:b/>
                <w:szCs w:val="21"/>
              </w:rPr>
              <w:t>3.采用银行、保险机构出具的保函的，必须为无条件保函，否则不予签订合同。</w:t>
            </w:r>
          </w:p>
        </w:tc>
      </w:tr>
      <w:tr w14:paraId="0F0A58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78B09C77">
            <w:pPr>
              <w:spacing w:line="360" w:lineRule="auto"/>
              <w:rPr>
                <w:rFonts w:ascii="宋体" w:hAnsi="宋体"/>
                <w:szCs w:val="21"/>
              </w:rPr>
            </w:pPr>
            <w:bookmarkStart w:id="75" w:name="_40.1"/>
            <w:bookmarkEnd w:id="75"/>
            <w:r>
              <w:rPr>
                <w:rFonts w:hint="eastAsia" w:ascii="宋体" w:hAnsi="宋体"/>
                <w:szCs w:val="21"/>
              </w:rPr>
              <w:t>36.1</w:t>
            </w:r>
          </w:p>
        </w:tc>
        <w:tc>
          <w:tcPr>
            <w:tcW w:w="8597" w:type="dxa"/>
            <w:tcBorders>
              <w:top w:val="single" w:color="auto" w:sz="4" w:space="0"/>
              <w:left w:val="single" w:color="auto" w:sz="4" w:space="0"/>
              <w:bottom w:val="single" w:color="auto" w:sz="4" w:space="0"/>
              <w:right w:val="single" w:color="auto" w:sz="4" w:space="0"/>
            </w:tcBorders>
            <w:vAlign w:val="center"/>
          </w:tcPr>
          <w:p w14:paraId="71ED81C6">
            <w:pPr>
              <w:autoSpaceDE w:val="0"/>
              <w:autoSpaceDN w:val="0"/>
              <w:snapToGrid w:val="0"/>
              <w:spacing w:line="360" w:lineRule="auto"/>
              <w:textAlignment w:val="bottom"/>
              <w:rPr>
                <w:rFonts w:ascii="宋体" w:hAnsi="宋体"/>
                <w:szCs w:val="21"/>
              </w:rPr>
            </w:pPr>
            <w:r>
              <w:rPr>
                <w:rFonts w:hint="eastAsia" w:ascii="宋体" w:hAnsi="宋体"/>
                <w:szCs w:val="21"/>
              </w:rPr>
              <w:t xml:space="preserve">签订合同携带的证明材料： </w:t>
            </w:r>
          </w:p>
          <w:p w14:paraId="47F092E0">
            <w:pPr>
              <w:autoSpaceDE w:val="0"/>
              <w:autoSpaceDN w:val="0"/>
              <w:snapToGrid w:val="0"/>
              <w:spacing w:line="360" w:lineRule="auto"/>
              <w:textAlignment w:val="bottom"/>
              <w:rPr>
                <w:rFonts w:ascii="宋体" w:hAnsi="宋体"/>
                <w:szCs w:val="21"/>
              </w:rPr>
            </w:pPr>
            <w:r>
              <w:rPr>
                <w:rFonts w:hint="eastAsia" w:ascii="宋体" w:hAnsi="宋体"/>
                <w:szCs w:val="21"/>
              </w:rPr>
              <w:t>委托代理人负责签订合同的，须携带授权委托书及委托代理人身份证原件等其他资格证件。</w:t>
            </w:r>
          </w:p>
          <w:p w14:paraId="55ECBCEA">
            <w:pPr>
              <w:autoSpaceDE w:val="0"/>
              <w:autoSpaceDN w:val="0"/>
              <w:snapToGrid w:val="0"/>
              <w:spacing w:line="360" w:lineRule="auto"/>
              <w:textAlignment w:val="bottom"/>
              <w:rPr>
                <w:rFonts w:ascii="宋体" w:hAnsi="宋体"/>
                <w:szCs w:val="21"/>
              </w:rPr>
            </w:pPr>
            <w:r>
              <w:rPr>
                <w:rFonts w:hint="eastAsia" w:ascii="宋体" w:hAnsi="宋体"/>
                <w:szCs w:val="21"/>
              </w:rPr>
              <w:t>法定代表人负责签订合同的，须携带法定代表人身份证明原件及身份证原件等其他证明材料。</w:t>
            </w:r>
          </w:p>
        </w:tc>
      </w:tr>
      <w:tr w14:paraId="6535AB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5868F97D">
            <w:pPr>
              <w:spacing w:line="360" w:lineRule="auto"/>
              <w:rPr>
                <w:rFonts w:ascii="宋体" w:hAnsi="宋体"/>
                <w:szCs w:val="21"/>
              </w:rPr>
            </w:pPr>
            <w:r>
              <w:rPr>
                <w:rFonts w:hint="eastAsia" w:ascii="宋体" w:hAnsi="宋体"/>
                <w:szCs w:val="21"/>
              </w:rPr>
              <w:t>3</w:t>
            </w:r>
            <w:r>
              <w:rPr>
                <w:rFonts w:ascii="宋体" w:hAnsi="宋体"/>
                <w:szCs w:val="21"/>
              </w:rPr>
              <w:t>8.2</w:t>
            </w:r>
          </w:p>
        </w:tc>
        <w:tc>
          <w:tcPr>
            <w:tcW w:w="8597" w:type="dxa"/>
            <w:tcBorders>
              <w:top w:val="single" w:color="auto" w:sz="4" w:space="0"/>
              <w:left w:val="single" w:color="auto" w:sz="4" w:space="0"/>
              <w:bottom w:val="single" w:color="auto" w:sz="4" w:space="0"/>
              <w:right w:val="single" w:color="auto" w:sz="4" w:space="0"/>
            </w:tcBorders>
            <w:vAlign w:val="center"/>
          </w:tcPr>
          <w:p w14:paraId="12651A5D">
            <w:pPr>
              <w:snapToGrid w:val="0"/>
              <w:spacing w:line="360" w:lineRule="auto"/>
              <w:rPr>
                <w:rFonts w:ascii="宋体" w:hAnsi="宋体"/>
                <w:szCs w:val="21"/>
              </w:rPr>
            </w:pPr>
            <w:r>
              <w:rPr>
                <w:rFonts w:hint="eastAsia" w:ascii="宋体" w:hAnsi="宋体"/>
                <w:szCs w:val="21"/>
              </w:rPr>
              <w:t>接收质疑函方式：以书面形式</w:t>
            </w:r>
          </w:p>
          <w:p w14:paraId="3EBBFCE0">
            <w:pPr>
              <w:snapToGrid w:val="0"/>
              <w:spacing w:line="360" w:lineRule="auto"/>
              <w:rPr>
                <w:rFonts w:ascii="宋体" w:hAnsi="宋体"/>
                <w:szCs w:val="21"/>
              </w:rPr>
            </w:pPr>
            <w:r>
              <w:rPr>
                <w:rFonts w:hint="eastAsia" w:ascii="宋体" w:hAnsi="宋体"/>
                <w:szCs w:val="21"/>
              </w:rPr>
              <w:t>质疑联系部门及联系方式：</w:t>
            </w:r>
            <w:r>
              <w:rPr>
                <w:rFonts w:hint="eastAsia" w:ascii="宋体" w:hAnsi="宋体"/>
                <w:szCs w:val="21"/>
                <w:u w:val="single"/>
              </w:rPr>
              <w:t xml:space="preserve"> 建银工程咨询有限责任公司</w:t>
            </w:r>
            <w:r>
              <w:rPr>
                <w:rFonts w:hint="eastAsia" w:ascii="宋体" w:hAnsi="宋体"/>
                <w:szCs w:val="21"/>
              </w:rPr>
              <w:t>，</w:t>
            </w:r>
          </w:p>
          <w:p w14:paraId="3D0B6A35">
            <w:pPr>
              <w:snapToGrid w:val="0"/>
              <w:spacing w:line="360" w:lineRule="auto"/>
              <w:rPr>
                <w:rFonts w:ascii="宋体" w:hAnsi="宋体"/>
                <w:szCs w:val="21"/>
              </w:rPr>
            </w:pPr>
            <w:r>
              <w:rPr>
                <w:rFonts w:ascii="宋体" w:hAnsi="宋体"/>
                <w:szCs w:val="21"/>
              </w:rPr>
              <w:t>联系电话</w:t>
            </w:r>
            <w:r>
              <w:rPr>
                <w:rFonts w:hint="eastAsia" w:ascii="宋体" w:hAnsi="宋体"/>
                <w:szCs w:val="21"/>
              </w:rPr>
              <w:t>：</w:t>
            </w:r>
            <w:r>
              <w:rPr>
                <w:rFonts w:hint="eastAsia" w:ascii="宋体" w:hAnsi="宋体" w:cs="宋体"/>
                <w:szCs w:val="21"/>
                <w:u w:val="single"/>
              </w:rPr>
              <w:t>0773-2834827</w:t>
            </w:r>
            <w:r>
              <w:rPr>
                <w:rFonts w:hint="eastAsia" w:ascii="宋体" w:hAnsi="宋体"/>
                <w:szCs w:val="21"/>
              </w:rPr>
              <w:t>，</w:t>
            </w:r>
          </w:p>
          <w:p w14:paraId="02BE201D">
            <w:pPr>
              <w:snapToGrid w:val="0"/>
              <w:spacing w:line="360" w:lineRule="auto"/>
              <w:rPr>
                <w:rFonts w:ascii="宋体" w:hAnsi="宋体"/>
                <w:szCs w:val="21"/>
              </w:rPr>
            </w:pPr>
            <w:r>
              <w:rPr>
                <w:rFonts w:ascii="宋体" w:hAnsi="宋体"/>
                <w:szCs w:val="21"/>
              </w:rPr>
              <w:t>通讯地址</w:t>
            </w:r>
            <w:r>
              <w:rPr>
                <w:rFonts w:hint="eastAsia" w:ascii="宋体" w:hAnsi="宋体" w:cs="Helvetica"/>
                <w:szCs w:val="21"/>
              </w:rPr>
              <w:t>：</w:t>
            </w:r>
            <w:r>
              <w:rPr>
                <w:rFonts w:hint="eastAsia" w:ascii="宋体" w:hAnsi="宋体" w:cs="Helvetica"/>
                <w:szCs w:val="21"/>
                <w:u w:val="single"/>
              </w:rPr>
              <w:t>桂林市解放西路3-5号五楼</w:t>
            </w:r>
          </w:p>
          <w:p w14:paraId="2504AF43">
            <w:pPr>
              <w:autoSpaceDE w:val="0"/>
              <w:autoSpaceDN w:val="0"/>
              <w:snapToGrid w:val="0"/>
              <w:spacing w:line="360" w:lineRule="auto"/>
              <w:textAlignment w:val="bottom"/>
              <w:rPr>
                <w:rFonts w:ascii="宋体" w:hAnsi="宋体"/>
                <w:szCs w:val="21"/>
              </w:rPr>
            </w:pPr>
            <w:r>
              <w:rPr>
                <w:rFonts w:hint="eastAsia" w:hAnsi="宋体"/>
              </w:rPr>
              <w:t>现场提交质疑办理业务时间：每天9时00分到12时00分，15时00分到17时30分，业务时间以外、双休日和法定节假日不办理业务。</w:t>
            </w:r>
          </w:p>
        </w:tc>
      </w:tr>
      <w:tr w14:paraId="167729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12A9C0C">
            <w:pPr>
              <w:spacing w:line="360" w:lineRule="auto"/>
              <w:rPr>
                <w:rFonts w:ascii="宋体" w:hAnsi="宋体"/>
                <w:szCs w:val="21"/>
              </w:rPr>
            </w:pPr>
            <w:bookmarkStart w:id="76" w:name="_41"/>
            <w:bookmarkEnd w:id="76"/>
            <w:bookmarkStart w:id="77" w:name="_42"/>
            <w:bookmarkEnd w:id="77"/>
            <w:r>
              <w:rPr>
                <w:rFonts w:hint="eastAsia" w:ascii="宋体" w:hAnsi="宋体"/>
                <w:szCs w:val="21"/>
              </w:rPr>
              <w:t>40</w:t>
            </w:r>
            <w:r>
              <w:rPr>
                <w:rFonts w:ascii="宋体" w:hAnsi="宋体"/>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036DDEA3">
            <w:pPr>
              <w:pStyle w:val="15"/>
              <w:snapToGrid w:val="0"/>
              <w:spacing w:line="360" w:lineRule="auto"/>
              <w:rPr>
                <w:rFonts w:hAnsi="宋体" w:cs="宋体"/>
                <w:sz w:val="21"/>
              </w:rPr>
            </w:pPr>
            <w:r>
              <w:rPr>
                <w:rFonts w:hint="eastAsia" w:hAnsi="宋体" w:cs="宋体"/>
                <w:sz w:val="21"/>
              </w:rPr>
              <w:t>1.采购代理费支付方式：</w:t>
            </w:r>
          </w:p>
          <w:p w14:paraId="3C721802">
            <w:pPr>
              <w:pStyle w:val="15"/>
              <w:snapToGrid w:val="0"/>
              <w:spacing w:line="360" w:lineRule="auto"/>
              <w:rPr>
                <w:rFonts w:hAnsi="宋体" w:cs="宋体"/>
                <w:sz w:val="21"/>
              </w:rPr>
            </w:pPr>
            <w:r>
              <w:rPr>
                <w:rFonts w:hint="eastAsia" w:hAnsi="宋体" w:cs="宋体"/>
                <w:sz w:val="21"/>
              </w:rPr>
              <w:t>☑本项目代理服务费由</w:t>
            </w:r>
            <w:r>
              <w:rPr>
                <w:rFonts w:hint="eastAsia" w:hAnsi="宋体" w:cs="宋体"/>
                <w:sz w:val="21"/>
                <w:u w:val="single"/>
              </w:rPr>
              <w:t>中标人</w:t>
            </w:r>
            <w:r>
              <w:rPr>
                <w:rFonts w:hint="eastAsia" w:hAnsi="宋体" w:cs="宋体"/>
                <w:sz w:val="21"/>
              </w:rPr>
              <w:t>在领取中标通知书前，一次性向采购代理机构支付。</w:t>
            </w:r>
          </w:p>
          <w:p w14:paraId="6BB81144">
            <w:pPr>
              <w:pStyle w:val="15"/>
              <w:snapToGrid w:val="0"/>
              <w:spacing w:line="360" w:lineRule="auto"/>
              <w:rPr>
                <w:rFonts w:hAnsi="宋体" w:cs="宋体"/>
                <w:sz w:val="21"/>
              </w:rPr>
            </w:pPr>
            <w:r>
              <w:rPr>
                <w:rFonts w:hint="eastAsia" w:hAnsi="宋体" w:cs="宋体"/>
                <w:sz w:val="21"/>
              </w:rPr>
              <w:t>□采购人支付。</w:t>
            </w:r>
          </w:p>
          <w:p w14:paraId="7474836B">
            <w:pPr>
              <w:pStyle w:val="15"/>
              <w:snapToGrid w:val="0"/>
              <w:spacing w:line="360" w:lineRule="auto"/>
              <w:rPr>
                <w:rFonts w:hAnsi="宋体" w:cs="宋体"/>
                <w:sz w:val="21"/>
              </w:rPr>
            </w:pPr>
            <w:r>
              <w:rPr>
                <w:rFonts w:hint="eastAsia" w:hAnsi="宋体" w:cs="宋体"/>
                <w:sz w:val="21"/>
              </w:rPr>
              <w:t>2.采购代理费收取标准：</w:t>
            </w:r>
          </w:p>
          <w:p w14:paraId="47A1E30D">
            <w:pPr>
              <w:pStyle w:val="15"/>
              <w:snapToGrid w:val="0"/>
              <w:spacing w:line="360" w:lineRule="auto"/>
              <w:rPr>
                <w:rFonts w:hAnsi="宋体" w:cs="宋体"/>
                <w:sz w:val="21"/>
              </w:rPr>
            </w:pPr>
            <w:r>
              <w:rPr>
                <w:rFonts w:hint="eastAsia" w:hAnsi="宋体" w:cs="宋体"/>
                <w:sz w:val="21"/>
              </w:rPr>
              <w:t>☑以（☑中标金额/□采购预算/□暂定中标金额/□其他）为计费额，按本须知正文第40.</w:t>
            </w:r>
            <w:r>
              <w:rPr>
                <w:rFonts w:hAnsi="宋体" w:cs="宋体"/>
                <w:sz w:val="21"/>
              </w:rPr>
              <w:t>2</w:t>
            </w:r>
            <w:r>
              <w:rPr>
                <w:rFonts w:hint="eastAsia" w:hAnsi="宋体" w:cs="宋体"/>
                <w:sz w:val="21"/>
              </w:rPr>
              <w:t>条规定的收费计算标准（☑货物招标/□服务招标/□工程招标）参考“发改价格〔2015〕299号”《国家发展改革委关于进一步放开建设项目专业服务价格的通知》规定，以费率1.5%为基数报价，不再按差额定率累进法计算，下浮幅度为40%。（□收费基准价格</w:t>
            </w:r>
            <w:r>
              <w:rPr>
                <w:rFonts w:hint="eastAsia" w:hAnsi="宋体" w:cs="宋体"/>
                <w:sz w:val="21"/>
                <w:u w:val="single"/>
              </w:rPr>
              <w:t xml:space="preserve">   %</w:t>
            </w:r>
            <w:r>
              <w:rPr>
                <w:rFonts w:hint="eastAsia" w:hAnsi="宋体" w:cs="宋体"/>
                <w:sz w:val="21"/>
              </w:rPr>
              <w:t>/☑收费基准价格下浮</w:t>
            </w:r>
            <w:r>
              <w:rPr>
                <w:rFonts w:hint="eastAsia" w:hAnsi="宋体" w:cs="宋体"/>
                <w:sz w:val="21"/>
                <w:u w:val="single"/>
              </w:rPr>
              <w:t xml:space="preserve"> 40%</w:t>
            </w:r>
            <w:r>
              <w:rPr>
                <w:rFonts w:hAnsi="宋体" w:cs="宋体"/>
                <w:sz w:val="21"/>
              </w:rPr>
              <w:t>/</w:t>
            </w:r>
            <w:r>
              <w:rPr>
                <w:rFonts w:hint="eastAsia" w:hAnsi="宋体" w:cs="宋体"/>
                <w:sz w:val="21"/>
              </w:rPr>
              <w:t>□收费基准价格上浮</w:t>
            </w:r>
            <w:r>
              <w:rPr>
                <w:rFonts w:hint="eastAsia" w:hAnsi="宋体" w:cs="宋体"/>
                <w:sz w:val="21"/>
                <w:u w:val="single"/>
              </w:rPr>
              <w:t>%</w:t>
            </w:r>
            <w:r>
              <w:rPr>
                <w:rFonts w:hint="eastAsia" w:hAnsi="宋体" w:cs="宋体"/>
                <w:sz w:val="21"/>
              </w:rPr>
              <w:t>）收取。</w:t>
            </w:r>
          </w:p>
          <w:p w14:paraId="7330C468">
            <w:pPr>
              <w:pStyle w:val="15"/>
              <w:snapToGrid w:val="0"/>
              <w:spacing w:line="360" w:lineRule="auto"/>
              <w:rPr>
                <w:rFonts w:hAnsi="宋体" w:cs="宋体"/>
                <w:sz w:val="21"/>
                <w:u w:val="single"/>
              </w:rPr>
            </w:pPr>
            <w:r>
              <w:rPr>
                <w:rFonts w:hint="eastAsia" w:hAnsi="宋体" w:cs="宋体"/>
                <w:sz w:val="21"/>
              </w:rPr>
              <w:t>□固定采购代理收费</w:t>
            </w:r>
            <w:r>
              <w:rPr>
                <w:rFonts w:hint="eastAsia" w:hAnsi="宋体" w:cs="宋体"/>
                <w:sz w:val="21"/>
                <w:u w:val="single"/>
              </w:rPr>
              <w:t xml:space="preserve">              。</w:t>
            </w:r>
          </w:p>
          <w:p w14:paraId="1B6BA679">
            <w:pPr>
              <w:pStyle w:val="15"/>
              <w:snapToGrid w:val="0"/>
              <w:spacing w:line="360" w:lineRule="auto"/>
              <w:rPr>
                <w:rFonts w:hAnsi="宋体" w:cs="宋体"/>
                <w:sz w:val="21"/>
              </w:rPr>
            </w:pPr>
            <w:r>
              <w:rPr>
                <w:rFonts w:hint="eastAsia" w:hAnsi="宋体" w:cs="宋体"/>
                <w:sz w:val="21"/>
              </w:rPr>
              <w:t>3</w:t>
            </w:r>
            <w:r>
              <w:rPr>
                <w:rFonts w:hAnsi="宋体" w:cs="宋体"/>
                <w:sz w:val="21"/>
              </w:rPr>
              <w:t>.</w:t>
            </w:r>
            <w:r>
              <w:rPr>
                <w:rFonts w:hint="eastAsia" w:hAnsi="宋体" w:cs="宋体"/>
                <w:sz w:val="21"/>
              </w:rPr>
              <w:t xml:space="preserve">账户名称： </w:t>
            </w:r>
          </w:p>
          <w:p w14:paraId="3FE07810">
            <w:pPr>
              <w:pStyle w:val="15"/>
              <w:snapToGrid w:val="0"/>
              <w:spacing w:line="360" w:lineRule="auto"/>
              <w:rPr>
                <w:rFonts w:hAnsi="宋体" w:cs="宋体"/>
                <w:sz w:val="21"/>
              </w:rPr>
            </w:pPr>
            <w:r>
              <w:rPr>
                <w:rFonts w:hint="eastAsia" w:hAnsi="宋体" w:cs="宋体"/>
                <w:sz w:val="21"/>
              </w:rPr>
              <w:t>开户名称：建银工程咨询有限责任公司桂林分公司</w:t>
            </w:r>
          </w:p>
          <w:p w14:paraId="367A9E74">
            <w:pPr>
              <w:pStyle w:val="15"/>
              <w:snapToGrid w:val="0"/>
              <w:spacing w:line="360" w:lineRule="auto"/>
              <w:rPr>
                <w:rFonts w:hAnsi="宋体" w:cs="宋体"/>
                <w:sz w:val="21"/>
              </w:rPr>
            </w:pPr>
            <w:r>
              <w:rPr>
                <w:rFonts w:hint="eastAsia" w:hAnsi="宋体" w:cs="宋体"/>
                <w:sz w:val="21"/>
              </w:rPr>
              <w:t>开户银行：建行桂林分行叠彩支行</w:t>
            </w:r>
          </w:p>
          <w:p w14:paraId="1E6E1FAB">
            <w:pPr>
              <w:pStyle w:val="15"/>
              <w:snapToGrid w:val="0"/>
              <w:spacing w:line="360" w:lineRule="auto"/>
              <w:rPr>
                <w:rFonts w:hAnsi="宋体"/>
                <w:sz w:val="21"/>
              </w:rPr>
            </w:pPr>
            <w:r>
              <w:rPr>
                <w:rFonts w:hint="eastAsia" w:hAnsi="宋体" w:cs="宋体"/>
                <w:sz w:val="21"/>
              </w:rPr>
              <w:t>开户账号：4505 0163 5410 0000 0034</w:t>
            </w:r>
            <w:r>
              <w:rPr>
                <w:rFonts w:hint="eastAsia" w:hAnsi="宋体" w:cs="宋体"/>
                <w:sz w:val="21"/>
              </w:rPr>
              <w:tab/>
            </w:r>
          </w:p>
        </w:tc>
      </w:tr>
      <w:tr w14:paraId="10DD0A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6462B0C0">
            <w:pPr>
              <w:snapToGrid w:val="0"/>
              <w:spacing w:line="360" w:lineRule="auto"/>
              <w:jc w:val="center"/>
              <w:rPr>
                <w:rFonts w:ascii="宋体" w:hAnsi="宋体"/>
                <w:szCs w:val="21"/>
              </w:rPr>
            </w:pPr>
            <w:r>
              <w:rPr>
                <w:rFonts w:ascii="宋体" w:hAnsi="宋体"/>
                <w:szCs w:val="21"/>
              </w:rPr>
              <w:t>4</w:t>
            </w:r>
            <w:r>
              <w:rPr>
                <w:rFonts w:hint="eastAsia" w:ascii="宋体" w:hAnsi="宋体"/>
                <w:szCs w:val="21"/>
              </w:rPr>
              <w:t>1</w:t>
            </w:r>
            <w:r>
              <w:rPr>
                <w:rFonts w:ascii="宋体" w:hAnsi="宋体"/>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1F3EC5EF">
            <w:pPr>
              <w:snapToGrid w:val="0"/>
              <w:spacing w:line="460" w:lineRule="exact"/>
              <w:rPr>
                <w:rFonts w:ascii="宋体" w:hAnsi="宋体"/>
                <w:b/>
                <w:szCs w:val="21"/>
              </w:rPr>
            </w:pPr>
            <w:r>
              <w:rPr>
                <w:rFonts w:hint="eastAsia" w:ascii="宋体" w:hAnsi="宋体"/>
                <w:b/>
                <w:szCs w:val="21"/>
              </w:rPr>
              <w:t>解释权：</w:t>
            </w:r>
            <w:r>
              <w:rPr>
                <w:rFonts w:ascii="宋体" w:hAnsi="宋体"/>
                <w:szCs w:val="21"/>
              </w:rPr>
              <w:t>构成本招标文件的各个组成文件应互为解释，互为说明；除招标文件中有特别规定外，仅适用于招标投标阶段的规定，按</w:t>
            </w:r>
            <w:r>
              <w:rPr>
                <w:rFonts w:hint="eastAsia" w:ascii="宋体" w:hAnsi="宋体"/>
                <w:szCs w:val="21"/>
              </w:rPr>
              <w:t>更正公告（澄清公告）</w:t>
            </w:r>
            <w:r>
              <w:rPr>
                <w:rFonts w:ascii="宋体" w:hAnsi="宋体"/>
                <w:szCs w:val="21"/>
              </w:rPr>
              <w:t>、招标公告、</w:t>
            </w:r>
            <w:r>
              <w:rPr>
                <w:rFonts w:hint="eastAsia" w:ascii="宋体" w:hAnsi="宋体"/>
                <w:szCs w:val="21"/>
              </w:rPr>
              <w:t>采购需求、</w:t>
            </w:r>
            <w:r>
              <w:rPr>
                <w:rFonts w:ascii="宋体" w:hAnsi="宋体"/>
                <w:szCs w:val="21"/>
              </w:rPr>
              <w:t>投标人须知、</w:t>
            </w:r>
            <w:r>
              <w:rPr>
                <w:rFonts w:hint="eastAsia" w:ascii="宋体" w:hAnsi="宋体"/>
                <w:szCs w:val="21"/>
              </w:rPr>
              <w:t>评标方法及评标标准</w:t>
            </w:r>
            <w:r>
              <w:rPr>
                <w:rFonts w:ascii="宋体" w:hAnsi="宋体"/>
                <w:szCs w:val="21"/>
              </w:rPr>
              <w:t>、</w:t>
            </w:r>
            <w:r>
              <w:rPr>
                <w:rFonts w:hint="eastAsia" w:ascii="宋体" w:hAnsi="宋体"/>
                <w:szCs w:val="21"/>
              </w:rPr>
              <w:t>拟签订的合同文本、</w:t>
            </w:r>
            <w:r>
              <w:rPr>
                <w:rFonts w:ascii="宋体" w:hAnsi="宋体"/>
                <w:szCs w:val="21"/>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szCs w:val="21"/>
              </w:rPr>
              <w:t>更正公告（澄清公告）</w:t>
            </w:r>
            <w:r>
              <w:rPr>
                <w:rFonts w:ascii="宋体" w:hAnsi="宋体"/>
                <w:szCs w:val="21"/>
              </w:rPr>
              <w:t>与同步更新的招标文件不一致时以</w:t>
            </w:r>
            <w:r>
              <w:rPr>
                <w:rFonts w:hint="eastAsia" w:ascii="宋体" w:hAnsi="宋体"/>
                <w:szCs w:val="21"/>
              </w:rPr>
              <w:t>更正公告（澄清公告）</w:t>
            </w:r>
            <w:r>
              <w:rPr>
                <w:rFonts w:ascii="宋体" w:hAnsi="宋体"/>
                <w:szCs w:val="21"/>
              </w:rPr>
              <w:t>为准。按本款前述规定仍不能形成结论的</w:t>
            </w:r>
            <w:r>
              <w:rPr>
                <w:rFonts w:ascii="宋体" w:hAnsi="宋体"/>
                <w:b/>
                <w:szCs w:val="21"/>
              </w:rPr>
              <w:t>，由</w:t>
            </w:r>
            <w:r>
              <w:rPr>
                <w:rFonts w:hint="eastAsia" w:ascii="宋体" w:hAnsi="宋体"/>
                <w:b/>
                <w:szCs w:val="21"/>
              </w:rPr>
              <w:t>采购</w:t>
            </w:r>
            <w:r>
              <w:rPr>
                <w:rFonts w:ascii="宋体" w:hAnsi="宋体"/>
                <w:b/>
                <w:szCs w:val="21"/>
              </w:rPr>
              <w:t>人</w:t>
            </w:r>
            <w:r>
              <w:rPr>
                <w:rFonts w:hint="eastAsia" w:ascii="宋体" w:hAnsi="宋体"/>
                <w:b/>
                <w:szCs w:val="21"/>
              </w:rPr>
              <w:t>或者采购代理机构</w:t>
            </w:r>
            <w:r>
              <w:rPr>
                <w:rFonts w:ascii="宋体" w:hAnsi="宋体"/>
                <w:b/>
                <w:szCs w:val="21"/>
              </w:rPr>
              <w:t>负责解释。</w:t>
            </w:r>
          </w:p>
          <w:p w14:paraId="3EBB618C">
            <w:pPr>
              <w:snapToGrid w:val="0"/>
              <w:spacing w:line="460" w:lineRule="exact"/>
              <w:rPr>
                <w:rFonts w:ascii="宋体" w:hAnsi="宋体"/>
                <w:b/>
                <w:szCs w:val="21"/>
              </w:rPr>
            </w:pPr>
            <w:r>
              <w:rPr>
                <w:rFonts w:hint="eastAsia" w:ascii="宋体" w:hAnsi="宋体"/>
                <w:b/>
                <w:szCs w:val="21"/>
              </w:rPr>
              <w:t>法律责任：</w:t>
            </w:r>
          </w:p>
          <w:p w14:paraId="7AAA5588">
            <w:pPr>
              <w:snapToGrid w:val="0"/>
              <w:spacing w:line="460" w:lineRule="exact"/>
              <w:rPr>
                <w:rFonts w:ascii="宋体" w:hAnsi="宋体"/>
                <w:szCs w:val="21"/>
              </w:rPr>
            </w:pPr>
            <w:r>
              <w:rPr>
                <w:rFonts w:hint="eastAsia" w:ascii="宋体" w:hAnsi="宋体"/>
                <w:szCs w:val="21"/>
              </w:rPr>
              <w:t>1.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14:paraId="68C7D6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BE9459A">
            <w:pPr>
              <w:snapToGrid w:val="0"/>
              <w:spacing w:line="360" w:lineRule="auto"/>
              <w:jc w:val="center"/>
              <w:rPr>
                <w:rFonts w:ascii="宋体" w:hAnsi="宋体"/>
                <w:szCs w:val="21"/>
              </w:rPr>
            </w:pPr>
            <w:r>
              <w:rPr>
                <w:rFonts w:ascii="宋体" w:hAnsi="宋体"/>
                <w:szCs w:val="21"/>
              </w:rPr>
              <w:t>4</w:t>
            </w:r>
            <w:r>
              <w:rPr>
                <w:rFonts w:hint="eastAsia" w:ascii="宋体" w:hAnsi="宋体"/>
                <w:szCs w:val="21"/>
              </w:rPr>
              <w:t>1</w:t>
            </w:r>
            <w:r>
              <w:rPr>
                <w:rFonts w:ascii="宋体" w:hAnsi="宋体"/>
                <w:szCs w:val="21"/>
              </w:rPr>
              <w:t>.2</w:t>
            </w:r>
          </w:p>
        </w:tc>
        <w:tc>
          <w:tcPr>
            <w:tcW w:w="8597" w:type="dxa"/>
            <w:tcBorders>
              <w:top w:val="single" w:color="auto" w:sz="4" w:space="0"/>
              <w:left w:val="single" w:color="auto" w:sz="4" w:space="0"/>
              <w:bottom w:val="single" w:color="auto" w:sz="4" w:space="0"/>
              <w:right w:val="single" w:color="auto" w:sz="4" w:space="0"/>
            </w:tcBorders>
            <w:vAlign w:val="center"/>
          </w:tcPr>
          <w:p w14:paraId="260E4756">
            <w:pPr>
              <w:pStyle w:val="15"/>
              <w:snapToGrid w:val="0"/>
              <w:spacing w:line="360" w:lineRule="auto"/>
              <w:rPr>
                <w:rFonts w:hAnsi="宋体" w:cs="宋体"/>
                <w:sz w:val="21"/>
              </w:rPr>
            </w:pPr>
            <w:r>
              <w:rPr>
                <w:rFonts w:hint="eastAsia" w:hAnsi="宋体" w:cs="宋体"/>
                <w:sz w:val="21"/>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6DA4ABDB">
            <w:pPr>
              <w:pStyle w:val="15"/>
              <w:snapToGrid w:val="0"/>
              <w:spacing w:line="360" w:lineRule="auto"/>
              <w:rPr>
                <w:rFonts w:hAnsi="宋体" w:cs="宋体"/>
                <w:sz w:val="21"/>
              </w:rPr>
            </w:pPr>
            <w:r>
              <w:rPr>
                <w:rFonts w:hint="eastAsia" w:hAnsi="宋体" w:cs="宋体"/>
                <w:sz w:val="21"/>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5E972FB1">
            <w:pPr>
              <w:pStyle w:val="15"/>
              <w:snapToGrid w:val="0"/>
              <w:spacing w:line="360" w:lineRule="auto"/>
              <w:rPr>
                <w:rFonts w:hAnsi="宋体" w:cs="宋体"/>
                <w:sz w:val="21"/>
              </w:rPr>
            </w:pPr>
            <w:r>
              <w:rPr>
                <w:rFonts w:hint="eastAsia" w:hAnsi="宋体" w:cs="宋体"/>
                <w:sz w:val="21"/>
              </w:rPr>
              <w:t>3.本招标文件中描述投标人的“签字”是指投标人的法定代表人或者委托代理人亲自在文件规定签署处亲笔写上个人的名字的行为，私章、签字章、印鉴、影印等其他形式均不能代替亲笔签字。</w:t>
            </w:r>
          </w:p>
          <w:p w14:paraId="302174E9">
            <w:pPr>
              <w:pStyle w:val="15"/>
              <w:snapToGrid w:val="0"/>
              <w:spacing w:line="360" w:lineRule="auto"/>
              <w:rPr>
                <w:rFonts w:hAnsi="宋体" w:cs="宋体"/>
                <w:sz w:val="21"/>
              </w:rPr>
            </w:pPr>
            <w:r>
              <w:rPr>
                <w:rFonts w:hint="eastAsia" w:hAnsi="宋体" w:cs="宋体"/>
                <w:sz w:val="21"/>
              </w:rPr>
              <w:t>4.自然人投标的，招标文件规定盖公章处由自然人摁手指指印。</w:t>
            </w:r>
          </w:p>
          <w:p w14:paraId="5B76E5F5">
            <w:pPr>
              <w:spacing w:line="360" w:lineRule="auto"/>
              <w:jc w:val="left"/>
              <w:rPr>
                <w:rFonts w:ascii="宋体" w:hAnsi="宋体"/>
                <w:szCs w:val="21"/>
              </w:rPr>
            </w:pPr>
            <w:r>
              <w:rPr>
                <w:rFonts w:hint="eastAsia" w:ascii="宋体" w:hAnsi="宋体" w:cs="宋体"/>
                <w:szCs w:val="21"/>
              </w:rPr>
              <w:t>5.本招标文件所称的“以上”“以下”“以内”“届满”，包括本数；所称的“不满”“超过”“以外”，不包括本数。</w:t>
            </w:r>
          </w:p>
        </w:tc>
      </w:tr>
    </w:tbl>
    <w:p w14:paraId="4BA1B3AE">
      <w:pPr>
        <w:snapToGrid w:val="0"/>
        <w:rPr>
          <w:rFonts w:ascii="宋体" w:hAnsi="宋体"/>
          <w:sz w:val="24"/>
          <w:szCs w:val="20"/>
        </w:rPr>
      </w:pPr>
    </w:p>
    <w:p w14:paraId="5827CDA0">
      <w:pPr>
        <w:pStyle w:val="5"/>
        <w:keepNext w:val="0"/>
        <w:keepLines w:val="0"/>
        <w:jc w:val="center"/>
      </w:pPr>
      <w:r>
        <w:rPr>
          <w:rFonts w:hint="eastAsia"/>
        </w:rPr>
        <w:br w:type="page"/>
      </w:r>
      <w:r>
        <w:rPr>
          <w:rFonts w:hint="eastAsia"/>
        </w:rPr>
        <w:t>投标人须知正文</w:t>
      </w:r>
    </w:p>
    <w:p w14:paraId="70AED1F9">
      <w:pPr>
        <w:pStyle w:val="5"/>
        <w:keepNext w:val="0"/>
        <w:keepLines w:val="0"/>
        <w:jc w:val="center"/>
      </w:pPr>
      <w:r>
        <w:rPr>
          <w:rFonts w:hint="eastAsia"/>
        </w:rPr>
        <w:t>一、总则</w:t>
      </w:r>
    </w:p>
    <w:p w14:paraId="1AE43C7F">
      <w:pPr>
        <w:pStyle w:val="7"/>
        <w:keepNext w:val="0"/>
        <w:keepLines w:val="0"/>
        <w:spacing w:before="0" w:after="0" w:line="360" w:lineRule="auto"/>
        <w:ind w:left="420" w:leftChars="200"/>
        <w:rPr>
          <w:rFonts w:ascii="黑体" w:hAnsi="黑体" w:eastAsia="黑体"/>
          <w:sz w:val="24"/>
        </w:rPr>
      </w:pPr>
      <w:bookmarkStart w:id="78" w:name="_Toc254970527"/>
      <w:bookmarkStart w:id="79" w:name="_Toc254970668"/>
      <w:r>
        <w:rPr>
          <w:rFonts w:hint="eastAsia" w:ascii="黑体" w:hAnsi="黑体" w:eastAsia="黑体"/>
          <w:sz w:val="24"/>
        </w:rPr>
        <w:t>1.适用范围</w:t>
      </w:r>
      <w:bookmarkEnd w:id="78"/>
      <w:bookmarkEnd w:id="79"/>
    </w:p>
    <w:p w14:paraId="6C34A561">
      <w:pPr>
        <w:snapToGrid w:val="0"/>
        <w:spacing w:line="360" w:lineRule="auto"/>
        <w:ind w:firstLine="420" w:firstLineChars="200"/>
        <w:jc w:val="left"/>
        <w:rPr>
          <w:rFonts w:ascii="宋体" w:hAnsi="宋体"/>
          <w:szCs w:val="21"/>
        </w:rPr>
      </w:pPr>
      <w:r>
        <w:rPr>
          <w:rFonts w:hint="eastAsia" w:ascii="宋体" w:hAnsi="宋体"/>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9D82F6C">
      <w:pPr>
        <w:snapToGrid w:val="0"/>
        <w:spacing w:line="360" w:lineRule="auto"/>
        <w:ind w:firstLine="420" w:firstLineChars="200"/>
        <w:jc w:val="left"/>
        <w:rPr>
          <w:rFonts w:ascii="宋体" w:hAnsi="宋体"/>
          <w:szCs w:val="21"/>
        </w:rPr>
      </w:pPr>
      <w:r>
        <w:rPr>
          <w:rFonts w:hint="eastAsia" w:ascii="宋体" w:hAnsi="宋体"/>
          <w:szCs w:val="21"/>
        </w:rPr>
        <w:t>1.2本招标文件</w:t>
      </w:r>
      <w:r>
        <w:rPr>
          <w:rFonts w:hint="eastAsia" w:ascii="宋体" w:hAnsi="宋体" w:cs="宋体"/>
          <w:spacing w:val="-6"/>
          <w:szCs w:val="21"/>
        </w:rPr>
        <w:t>适用于本项目的所有采购程序和环节（法律、法规另有规定的，从其规定）。</w:t>
      </w:r>
    </w:p>
    <w:p w14:paraId="5D20F56E">
      <w:pPr>
        <w:pStyle w:val="7"/>
        <w:keepNext w:val="0"/>
        <w:keepLines w:val="0"/>
        <w:spacing w:before="0" w:after="0" w:line="360" w:lineRule="auto"/>
        <w:ind w:left="420" w:leftChars="200"/>
        <w:rPr>
          <w:rFonts w:ascii="黑体" w:hAnsi="黑体" w:eastAsia="黑体"/>
          <w:sz w:val="24"/>
        </w:rPr>
      </w:pPr>
      <w:bookmarkStart w:id="80" w:name="_Toc254970669"/>
      <w:bookmarkStart w:id="81" w:name="_Toc254970528"/>
      <w:r>
        <w:rPr>
          <w:rFonts w:hint="eastAsia" w:ascii="黑体" w:hAnsi="黑体" w:eastAsia="黑体"/>
          <w:sz w:val="24"/>
        </w:rPr>
        <w:t>2.定义</w:t>
      </w:r>
      <w:bookmarkEnd w:id="80"/>
      <w:bookmarkEnd w:id="81"/>
    </w:p>
    <w:p w14:paraId="372D17EE">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2.1“采购人”是指依法进行政府采购的国家机关、事业单位、团体组织。</w:t>
      </w:r>
    </w:p>
    <w:p w14:paraId="229D9336">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2.2“采购代理机构”是指政府采购代理机构（以下简称采购代理机构）是指集中采购机构以外、受采购人委托从事政府采购代理业务的社会中介机构。</w:t>
      </w:r>
    </w:p>
    <w:p w14:paraId="03DD8997">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2.3“供应商”是指向采购人提供货物、工程或者服务的法人、其他组织或者自然人。</w:t>
      </w:r>
    </w:p>
    <w:p w14:paraId="472889E5">
      <w:pPr>
        <w:pStyle w:val="2"/>
        <w:spacing w:line="360" w:lineRule="auto"/>
        <w:rPr>
          <w:rFonts w:ascii="宋体" w:hAnsi="宋体"/>
          <w:szCs w:val="21"/>
        </w:rPr>
      </w:pPr>
      <w:r>
        <w:rPr>
          <w:rFonts w:hint="eastAsia" w:ascii="宋体" w:hAnsi="宋体"/>
          <w:szCs w:val="21"/>
        </w:rPr>
        <w:t>2.4“投标人”是指响应招标、参加投标竞争的法人、非法人组织或者自然人。</w:t>
      </w:r>
    </w:p>
    <w:p w14:paraId="6A175B51">
      <w:pPr>
        <w:pStyle w:val="7"/>
        <w:keepNext w:val="0"/>
        <w:keepLines w:val="0"/>
        <w:spacing w:before="0" w:after="0" w:line="360" w:lineRule="auto"/>
        <w:ind w:firstLine="420" w:firstLineChars="200"/>
        <w:rPr>
          <w:rFonts w:ascii="宋体" w:hAnsi="宋体"/>
          <w:b w:val="0"/>
          <w:sz w:val="21"/>
          <w:szCs w:val="21"/>
        </w:rPr>
      </w:pPr>
      <w:r>
        <w:rPr>
          <w:rFonts w:hint="eastAsia" w:ascii="宋体" w:hAnsi="宋体"/>
          <w:b w:val="0"/>
          <w:sz w:val="21"/>
          <w:szCs w:val="21"/>
        </w:rPr>
        <w:t>2.5“货物”是指各种形态和种类的物品，包括原材料、燃料、设备、产品等。</w:t>
      </w:r>
    </w:p>
    <w:p w14:paraId="47C087B5">
      <w:pPr>
        <w:pStyle w:val="7"/>
        <w:keepNext w:val="0"/>
        <w:keepLines w:val="0"/>
        <w:spacing w:before="0" w:after="0" w:line="360" w:lineRule="auto"/>
        <w:ind w:firstLine="420" w:firstLineChars="200"/>
        <w:rPr>
          <w:rFonts w:ascii="宋体" w:hAnsi="宋体"/>
          <w:b w:val="0"/>
          <w:sz w:val="21"/>
          <w:szCs w:val="21"/>
        </w:rPr>
      </w:pPr>
      <w:r>
        <w:rPr>
          <w:rFonts w:hint="eastAsia" w:ascii="宋体" w:hAnsi="宋体"/>
          <w:b w:val="0"/>
          <w:sz w:val="21"/>
          <w:szCs w:val="21"/>
        </w:rPr>
        <w:t>2.6“售后服务” 是指商品出售以后所提供的各种服务，包含但不限于投标人须承担的备品备件、包装、运输、装卸、保险、货到就位以及安装、调试、培训、保修以及其他各种服务。</w:t>
      </w:r>
    </w:p>
    <w:p w14:paraId="73210953">
      <w:pPr>
        <w:pStyle w:val="7"/>
        <w:keepNext w:val="0"/>
        <w:keepLines w:val="0"/>
        <w:spacing w:before="0" w:after="0" w:line="360" w:lineRule="auto"/>
        <w:rPr>
          <w:rFonts w:ascii="宋体" w:hAnsi="宋体"/>
          <w:b w:val="0"/>
          <w:sz w:val="21"/>
          <w:szCs w:val="21"/>
        </w:rPr>
      </w:pPr>
      <w:r>
        <w:rPr>
          <w:rFonts w:hint="eastAsia" w:ascii="宋体" w:hAnsi="宋体"/>
          <w:b w:val="0"/>
          <w:sz w:val="21"/>
          <w:szCs w:val="21"/>
        </w:rPr>
        <w:t xml:space="preserve">    2.7“书面形式”是指合同书、信件和数据电文（包括电报、电传、传真、电子数据交换和电子邮件）等可以有形地表现所载内容的形式。</w:t>
      </w:r>
    </w:p>
    <w:p w14:paraId="4F34DABC">
      <w:pPr>
        <w:pStyle w:val="7"/>
        <w:keepNext w:val="0"/>
        <w:keepLines w:val="0"/>
        <w:spacing w:before="0" w:after="0" w:line="360" w:lineRule="auto"/>
        <w:ind w:firstLine="420" w:firstLineChars="200"/>
        <w:rPr>
          <w:rFonts w:ascii="宋体" w:hAnsi="宋体"/>
          <w:b w:val="0"/>
          <w:sz w:val="21"/>
          <w:szCs w:val="21"/>
        </w:rPr>
      </w:pPr>
      <w:r>
        <w:rPr>
          <w:rFonts w:hint="eastAsia" w:ascii="宋体" w:hAnsi="宋体"/>
          <w:b w:val="0"/>
          <w:sz w:val="21"/>
          <w:szCs w:val="21"/>
        </w:rPr>
        <w:t>2.8“实质性要求”是指招标文件中已经指明不满足则投标无效的条款，或者不能负偏离的条款，或者采购需求中带“★”的条款。</w:t>
      </w:r>
    </w:p>
    <w:p w14:paraId="516471CB">
      <w:pPr>
        <w:snapToGrid w:val="0"/>
        <w:spacing w:line="360" w:lineRule="auto"/>
        <w:ind w:firstLine="420" w:firstLineChars="200"/>
        <w:jc w:val="left"/>
        <w:rPr>
          <w:rFonts w:ascii="宋体" w:hAnsi="宋体" w:cs="宋体"/>
          <w:szCs w:val="21"/>
        </w:rPr>
      </w:pPr>
      <w:r>
        <w:rPr>
          <w:rFonts w:hint="eastAsia" w:ascii="宋体" w:hAnsi="宋体"/>
          <w:szCs w:val="21"/>
        </w:rPr>
        <w:t xml:space="preserve">2.9 </w:t>
      </w:r>
      <w:r>
        <w:rPr>
          <w:rFonts w:hint="eastAsia" w:ascii="宋体" w:hAnsi="宋体" w:cs="宋体"/>
          <w:szCs w:val="21"/>
        </w:rPr>
        <w:t>“正偏离”，是指投标文件对招标文件“采购需求”中有关条款作出的响应优于条款要求并有利于采购人的情形。</w:t>
      </w:r>
    </w:p>
    <w:p w14:paraId="03A0FBCD">
      <w:pPr>
        <w:snapToGrid w:val="0"/>
        <w:spacing w:line="360" w:lineRule="auto"/>
        <w:ind w:firstLine="420" w:firstLineChars="200"/>
        <w:jc w:val="left"/>
        <w:rPr>
          <w:rFonts w:ascii="宋体" w:hAnsi="宋体" w:cs="宋体"/>
          <w:szCs w:val="21"/>
        </w:rPr>
      </w:pPr>
      <w:r>
        <w:rPr>
          <w:rFonts w:ascii="宋体" w:hAnsi="宋体" w:cs="宋体"/>
          <w:szCs w:val="21"/>
        </w:rPr>
        <w:t>2.10</w:t>
      </w:r>
      <w:r>
        <w:rPr>
          <w:rFonts w:hint="eastAsia" w:ascii="宋体" w:hAnsi="宋体" w:cs="宋体"/>
          <w:szCs w:val="21"/>
        </w:rPr>
        <w:t>“负偏离”，是指投标文件对招标文件“采购需求”中有关条款作出的响应不满足条款要求，导致采购人要求不能得到满足的情形。</w:t>
      </w:r>
    </w:p>
    <w:p w14:paraId="1A3024B5">
      <w:pPr>
        <w:snapToGrid w:val="0"/>
        <w:spacing w:line="360" w:lineRule="auto"/>
        <w:ind w:firstLine="420" w:firstLineChars="200"/>
        <w:jc w:val="left"/>
        <w:rPr>
          <w:rFonts w:ascii="宋体" w:hAnsi="宋体" w:cs="宋体"/>
          <w:szCs w:val="21"/>
        </w:rPr>
      </w:pPr>
      <w:r>
        <w:rPr>
          <w:rFonts w:hint="eastAsia" w:ascii="宋体" w:hAnsi="宋体"/>
          <w:szCs w:val="21"/>
        </w:rPr>
        <w:t>2.1</w:t>
      </w:r>
      <w:r>
        <w:rPr>
          <w:rFonts w:ascii="宋体" w:hAnsi="宋体"/>
          <w:szCs w:val="21"/>
        </w:rPr>
        <w:t>1</w:t>
      </w:r>
      <w:r>
        <w:rPr>
          <w:rFonts w:hint="eastAsia" w:ascii="宋体" w:hAnsi="宋体" w:cs="宋体"/>
          <w:szCs w:val="21"/>
        </w:rPr>
        <w:t>“允许负偏离的条款”是指采购需求中的不属于“实质性要求”的条款。</w:t>
      </w:r>
      <w:bookmarkStart w:id="82" w:name="_Toc254970670"/>
      <w:bookmarkStart w:id="83" w:name="_Toc254970529"/>
    </w:p>
    <w:p w14:paraId="3D308D64">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3.</w:t>
      </w:r>
      <w:bookmarkEnd w:id="82"/>
      <w:bookmarkEnd w:id="83"/>
      <w:r>
        <w:rPr>
          <w:rFonts w:hint="eastAsia" w:ascii="黑体" w:hAnsi="黑体" w:eastAsia="黑体"/>
          <w:sz w:val="24"/>
        </w:rPr>
        <w:t>投标人的资格要求</w:t>
      </w:r>
    </w:p>
    <w:p w14:paraId="3F0CA1DD">
      <w:pPr>
        <w:snapToGrid w:val="0"/>
        <w:spacing w:line="360" w:lineRule="auto"/>
        <w:ind w:firstLine="420" w:firstLineChars="200"/>
        <w:jc w:val="left"/>
        <w:rPr>
          <w:rFonts w:ascii="宋体" w:hAnsi="宋体"/>
          <w:szCs w:val="21"/>
        </w:rPr>
      </w:pPr>
      <w:r>
        <w:rPr>
          <w:rFonts w:hint="eastAsia" w:ascii="宋体" w:hAnsi="宋体"/>
          <w:szCs w:val="21"/>
        </w:rPr>
        <w:t>投标人的资格要求详见“招标公告”。</w:t>
      </w:r>
    </w:p>
    <w:p w14:paraId="102917AC">
      <w:pPr>
        <w:pStyle w:val="7"/>
        <w:keepNext w:val="0"/>
        <w:keepLines w:val="0"/>
        <w:spacing w:before="0" w:after="0" w:line="360" w:lineRule="auto"/>
        <w:ind w:left="420" w:leftChars="200"/>
        <w:rPr>
          <w:rFonts w:ascii="黑体" w:hAnsi="黑体" w:eastAsia="黑体"/>
          <w:sz w:val="24"/>
        </w:rPr>
      </w:pPr>
      <w:bookmarkStart w:id="84" w:name="_Toc254970671"/>
      <w:bookmarkStart w:id="85" w:name="_Toc254970530"/>
      <w:r>
        <w:rPr>
          <w:rFonts w:hint="eastAsia" w:ascii="黑体" w:hAnsi="黑体" w:eastAsia="黑体"/>
          <w:sz w:val="24"/>
        </w:rPr>
        <w:t>4.投标委托</w:t>
      </w:r>
      <w:bookmarkEnd w:id="84"/>
      <w:bookmarkEnd w:id="85"/>
    </w:p>
    <w:p w14:paraId="0BD513C2">
      <w:pPr>
        <w:snapToGrid w:val="0"/>
        <w:spacing w:line="360" w:lineRule="auto"/>
        <w:ind w:firstLine="420" w:firstLineChars="200"/>
        <w:jc w:val="left"/>
        <w:rPr>
          <w:rFonts w:ascii="宋体" w:hAnsi="宋体"/>
          <w:szCs w:val="21"/>
        </w:rPr>
      </w:pPr>
      <w:r>
        <w:rPr>
          <w:rFonts w:hint="eastAsia" w:ascii="宋体" w:hAnsi="宋体"/>
          <w:szCs w:val="21"/>
        </w:rPr>
        <w:t>投标人代表参加投标活动过程中必须携带个人有效身份证件。如投标人代表不是法定代表人，须持有法定代表人授权委托书（正本用原件，副本用复印件，按第六章要求格式填写）。</w:t>
      </w:r>
    </w:p>
    <w:p w14:paraId="58DFFDFE">
      <w:pPr>
        <w:pStyle w:val="7"/>
        <w:keepNext w:val="0"/>
        <w:keepLines w:val="0"/>
        <w:spacing w:before="0" w:after="0" w:line="360" w:lineRule="auto"/>
        <w:ind w:left="420" w:leftChars="200"/>
        <w:rPr>
          <w:rFonts w:ascii="黑体" w:hAnsi="黑体" w:eastAsia="黑体"/>
          <w:sz w:val="24"/>
        </w:rPr>
      </w:pPr>
      <w:bookmarkStart w:id="86" w:name="_5.投标费用"/>
      <w:bookmarkEnd w:id="86"/>
      <w:bookmarkStart w:id="87" w:name="_Toc254970531"/>
      <w:bookmarkStart w:id="88" w:name="_Toc254970672"/>
      <w:r>
        <w:rPr>
          <w:rFonts w:hint="eastAsia" w:ascii="黑体" w:hAnsi="黑体" w:eastAsia="黑体"/>
          <w:sz w:val="24"/>
        </w:rPr>
        <w:t>5.投标费用</w:t>
      </w:r>
      <w:bookmarkEnd w:id="87"/>
      <w:bookmarkEnd w:id="88"/>
    </w:p>
    <w:p w14:paraId="507A8BBA">
      <w:pPr>
        <w:snapToGrid w:val="0"/>
        <w:spacing w:line="360" w:lineRule="auto"/>
        <w:ind w:firstLine="420" w:firstLineChars="200"/>
        <w:jc w:val="left"/>
        <w:rPr>
          <w:rFonts w:ascii="宋体" w:hAnsi="宋体"/>
          <w:szCs w:val="21"/>
        </w:rPr>
      </w:pPr>
      <w:r>
        <w:rPr>
          <w:rFonts w:hint="eastAsia" w:ascii="宋体" w:hAnsi="宋体" w:cs="宋体"/>
          <w:szCs w:val="21"/>
        </w:rPr>
        <w:t>投标费用：投标人应承担参与本次采购活动有关的所有费用，包括但不限于获取招标文件、勘查现场、编制和提交投标文件、参加澄清说明、签订合同等，不论投标结果如何，均应自行承担。</w:t>
      </w:r>
    </w:p>
    <w:p w14:paraId="6A291EB7">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6.联合体投标</w:t>
      </w:r>
    </w:p>
    <w:p w14:paraId="2233D47A">
      <w:pPr>
        <w:snapToGrid w:val="0"/>
        <w:spacing w:line="360" w:lineRule="auto"/>
        <w:ind w:firstLine="420" w:firstLineChars="200"/>
        <w:jc w:val="left"/>
        <w:rPr>
          <w:rFonts w:ascii="宋体" w:hAnsi="宋体"/>
          <w:szCs w:val="21"/>
        </w:rPr>
      </w:pPr>
      <w:r>
        <w:rPr>
          <w:rFonts w:hint="eastAsia" w:ascii="宋体" w:hAnsi="宋体"/>
          <w:szCs w:val="21"/>
        </w:rPr>
        <w:t>6.1本项目是否接受联合体投标，详见“投标人须知前附表”。</w:t>
      </w:r>
    </w:p>
    <w:p w14:paraId="7CF87F55">
      <w:pPr>
        <w:snapToGrid w:val="0"/>
        <w:spacing w:line="360" w:lineRule="auto"/>
        <w:ind w:firstLine="420" w:firstLineChars="200"/>
        <w:jc w:val="left"/>
        <w:rPr>
          <w:rFonts w:ascii="宋体" w:hAnsi="宋体"/>
          <w:bCs/>
          <w:szCs w:val="21"/>
        </w:rPr>
      </w:pPr>
      <w:r>
        <w:rPr>
          <w:rFonts w:hint="eastAsia" w:ascii="宋体" w:hAnsi="宋体"/>
          <w:bCs/>
          <w:szCs w:val="21"/>
        </w:rPr>
        <w:t>6.2如接受联合体投标，联合体投标要求详见“投标人须知前附表”。</w:t>
      </w:r>
    </w:p>
    <w:p w14:paraId="2D515146">
      <w:pPr>
        <w:snapToGrid w:val="0"/>
        <w:spacing w:line="360" w:lineRule="auto"/>
        <w:ind w:firstLine="420" w:firstLineChars="200"/>
        <w:jc w:val="left"/>
        <w:rPr>
          <w:rFonts w:ascii="宋体" w:hAnsi="宋体"/>
          <w:bCs/>
          <w:szCs w:val="21"/>
        </w:rPr>
      </w:pPr>
      <w:r>
        <w:rPr>
          <w:rFonts w:hint="eastAsia" w:ascii="宋体" w:hAnsi="宋体"/>
          <w:bCs/>
          <w:szCs w:val="21"/>
        </w:rPr>
        <w:t>6.3根据《政府采购促进中小企业发展管理办法》（财库[2020]46号）第九条、《广西壮族自治区财政厅关于进一步发挥政府采购政策功能促进企业发展的通知》（桂财采〔2022〕30号）及《广西壮族自治区财政厅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30%以上的，采购人、采购代理机构应当对联合体的报价给予6%（工程项目为 1%—2%）的扣除，用扣除后的价格参加评审。组成联合体的小微企业与联合体内其他企业、分包企业之间存在直接控股、管理关系的，不享受价格扣除优惠政策。</w:t>
      </w:r>
    </w:p>
    <w:p w14:paraId="4B745CF0">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 xml:space="preserve">7.转包与分包             </w:t>
      </w:r>
    </w:p>
    <w:p w14:paraId="72DE5029">
      <w:pPr>
        <w:snapToGrid w:val="0"/>
        <w:spacing w:line="360" w:lineRule="auto"/>
        <w:ind w:firstLine="420" w:firstLineChars="200"/>
        <w:jc w:val="left"/>
        <w:rPr>
          <w:rFonts w:ascii="宋体" w:hAnsi="宋体"/>
          <w:szCs w:val="21"/>
        </w:rPr>
      </w:pPr>
      <w:r>
        <w:rPr>
          <w:rFonts w:hint="eastAsia" w:ascii="宋体" w:hAnsi="宋体"/>
          <w:szCs w:val="21"/>
        </w:rPr>
        <w:t>7.1本项目不允许转包。</w:t>
      </w:r>
    </w:p>
    <w:p w14:paraId="6BD911B5">
      <w:pPr>
        <w:snapToGrid w:val="0"/>
        <w:spacing w:line="360" w:lineRule="auto"/>
        <w:ind w:firstLine="420" w:firstLineChars="200"/>
        <w:jc w:val="left"/>
        <w:rPr>
          <w:rFonts w:ascii="宋体" w:hAnsi="宋体"/>
          <w:bCs/>
          <w:szCs w:val="21"/>
        </w:rPr>
      </w:pPr>
      <w:r>
        <w:rPr>
          <w:rFonts w:hint="eastAsia" w:ascii="宋体" w:hAnsi="宋体"/>
          <w:szCs w:val="21"/>
        </w:rPr>
        <w:t>7.2本项目是否允许分包详见</w:t>
      </w:r>
      <w:r>
        <w:rPr>
          <w:rFonts w:hint="eastAsia" w:ascii="宋体" w:hAnsi="宋体"/>
          <w:bCs/>
          <w:szCs w:val="21"/>
        </w:rPr>
        <w:t>“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0CF56919">
      <w:pPr>
        <w:snapToGrid w:val="0"/>
        <w:spacing w:line="360" w:lineRule="auto"/>
        <w:ind w:firstLine="420" w:firstLineChars="200"/>
        <w:jc w:val="left"/>
        <w:rPr>
          <w:rFonts w:ascii="宋体" w:hAnsi="宋体"/>
          <w:bCs/>
          <w:szCs w:val="21"/>
        </w:rPr>
      </w:pPr>
      <w:r>
        <w:rPr>
          <w:rFonts w:hint="eastAsia" w:ascii="宋体" w:hAnsi="宋体"/>
          <w:bCs/>
          <w:szCs w:val="21"/>
        </w:rPr>
        <w:t>7.3</w:t>
      </w:r>
      <w:r>
        <w:rPr>
          <w:rFonts w:hint="eastAsia" w:ascii="宋体" w:hAnsi="宋体" w:cs="宋体"/>
          <w:bCs/>
          <w:szCs w:val="21"/>
        </w:rPr>
        <w:t>按照《政府采购促进中小企业发展管理办法》（财库〔2020〕46号）的规定，依据该办法规定享受扶持政策获得政府采购合同的，小微企业不得将合同分包给大中型企业，中型企业不得将合同分包给大型企业。</w:t>
      </w:r>
    </w:p>
    <w:p w14:paraId="31E5BDAB">
      <w:pPr>
        <w:pStyle w:val="7"/>
        <w:keepNext w:val="0"/>
        <w:keepLines w:val="0"/>
        <w:spacing w:before="0" w:after="0" w:line="360" w:lineRule="auto"/>
        <w:ind w:left="420" w:leftChars="200"/>
        <w:rPr>
          <w:rFonts w:ascii="黑体" w:hAnsi="黑体" w:eastAsia="黑体"/>
          <w:sz w:val="24"/>
        </w:rPr>
      </w:pPr>
      <w:bookmarkStart w:id="89" w:name="_Toc254970532"/>
      <w:bookmarkStart w:id="90" w:name="_Toc254970673"/>
      <w:r>
        <w:rPr>
          <w:rFonts w:hint="eastAsia" w:ascii="黑体" w:hAnsi="黑体" w:eastAsia="黑体"/>
          <w:sz w:val="24"/>
        </w:rPr>
        <w:t>8.特别说明：</w:t>
      </w:r>
      <w:bookmarkEnd w:id="89"/>
      <w:bookmarkEnd w:id="90"/>
    </w:p>
    <w:p w14:paraId="23ED9C21">
      <w:pPr>
        <w:pStyle w:val="7"/>
        <w:keepNext w:val="0"/>
        <w:keepLines w:val="0"/>
        <w:spacing w:before="0" w:after="0" w:line="360" w:lineRule="auto"/>
        <w:ind w:firstLine="422" w:firstLineChars="200"/>
        <w:rPr>
          <w:rFonts w:ascii="宋体" w:hAnsi="宋体"/>
          <w:sz w:val="21"/>
          <w:szCs w:val="21"/>
        </w:rPr>
      </w:pPr>
      <w:bookmarkStart w:id="91" w:name="_8.1提供相同品牌产品且通过资格审查、符合性审查的不同投标人参加同一合"/>
      <w:bookmarkEnd w:id="91"/>
      <w:r>
        <w:rPr>
          <w:rFonts w:ascii="宋体" w:hAnsi="宋体"/>
          <w:sz w:val="21"/>
          <w:szCs w:val="21"/>
        </w:rPr>
        <w:fldChar w:fldCharType="begin"/>
      </w:r>
      <w:r>
        <w:rPr>
          <w:rFonts w:ascii="宋体" w:hAnsi="宋体"/>
          <w:sz w:val="21"/>
          <w:szCs w:val="21"/>
        </w:rPr>
        <w:instrText xml:space="preserve"> HYPERLINK  \l "_8.1"</w:instrText>
      </w:r>
      <w:r>
        <w:rPr>
          <w:rFonts w:ascii="宋体" w:hAnsi="宋体"/>
          <w:sz w:val="21"/>
          <w:szCs w:val="21"/>
        </w:rPr>
        <w:fldChar w:fldCharType="separate"/>
      </w:r>
      <w:r>
        <w:rPr>
          <w:rFonts w:hint="eastAsia" w:ascii="宋体" w:hAnsi="宋体"/>
          <w:sz w:val="21"/>
          <w:szCs w:val="21"/>
        </w:rPr>
        <w:t>8.1</w:t>
      </w:r>
      <w:r>
        <w:rPr>
          <w:rFonts w:ascii="宋体" w:hAnsi="宋体"/>
          <w:sz w:val="21"/>
          <w:szCs w:val="21"/>
        </w:rPr>
        <w:fldChar w:fldCharType="end"/>
      </w:r>
      <w:r>
        <w:rPr>
          <w:rFonts w:hint="eastAsia" w:ascii="宋体" w:hAnsi="宋体"/>
          <w:sz w:val="21"/>
          <w:szCs w:val="21"/>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采取随机抽取的方式确定一个投标人获得中标人推荐资格，其他同品牌投标人不作为中标候选人。</w:t>
      </w:r>
    </w:p>
    <w:p w14:paraId="293BD412">
      <w:pPr>
        <w:pStyle w:val="15"/>
        <w:snapToGrid w:val="0"/>
        <w:spacing w:line="360" w:lineRule="auto"/>
        <w:ind w:left="2" w:leftChars="1" w:firstLine="422" w:firstLineChars="200"/>
        <w:rPr>
          <w:rFonts w:hAnsi="宋体"/>
          <w:b/>
          <w:kern w:val="2"/>
          <w:sz w:val="21"/>
        </w:rPr>
      </w:pPr>
      <w:r>
        <w:rPr>
          <w:rFonts w:hint="eastAsia" w:hAnsi="宋体"/>
          <w:b/>
          <w:kern w:val="2"/>
          <w:sz w:val="21"/>
        </w:rPr>
        <w:t>非单一产品采购项目，多家投标人提供的核心产品品牌相同的，按前款规定处理。</w:t>
      </w:r>
    </w:p>
    <w:p w14:paraId="03B32CC9">
      <w:pPr>
        <w:pStyle w:val="7"/>
        <w:keepNext w:val="0"/>
        <w:keepLines w:val="0"/>
        <w:spacing w:before="0" w:after="0" w:line="360" w:lineRule="auto"/>
        <w:ind w:firstLine="369" w:firstLineChars="175"/>
        <w:rPr>
          <w:rFonts w:ascii="宋体" w:hAnsi="宋体"/>
          <w:sz w:val="21"/>
          <w:szCs w:val="21"/>
        </w:rPr>
      </w:pPr>
      <w:r>
        <w:rPr>
          <w:rFonts w:hint="eastAsia" w:ascii="宋体" w:hAnsi="宋体"/>
          <w:sz w:val="21"/>
          <w:szCs w:val="21"/>
        </w:rPr>
        <w:t>8.2如果本招标文件要求投标人提供资格、信誉、荣誉、业绩与企业认证等材料的，则投标人所提供的以上材料必须为投标人所拥有。</w:t>
      </w:r>
    </w:p>
    <w:p w14:paraId="2BF4A8B1">
      <w:pPr>
        <w:pStyle w:val="7"/>
        <w:keepNext w:val="0"/>
        <w:keepLines w:val="0"/>
        <w:spacing w:before="0" w:after="0" w:line="360" w:lineRule="auto"/>
        <w:ind w:firstLine="369" w:firstLineChars="175"/>
        <w:rPr>
          <w:rFonts w:ascii="宋体" w:hAnsi="宋体"/>
          <w:sz w:val="21"/>
          <w:szCs w:val="21"/>
        </w:rPr>
      </w:pPr>
      <w:r>
        <w:rPr>
          <w:rFonts w:hint="eastAsia" w:ascii="宋体" w:hAnsi="宋体"/>
          <w:sz w:val="21"/>
          <w:szCs w:val="21"/>
        </w:rPr>
        <w:t>8.3投标人应仔细阅读招标文件的所有内容，按照招标文件的要求提交投标文件，并对所提供的全部资料的真实性承担法律责任。</w:t>
      </w:r>
    </w:p>
    <w:p w14:paraId="627C189A">
      <w:pPr>
        <w:pStyle w:val="7"/>
        <w:keepNext w:val="0"/>
        <w:keepLines w:val="0"/>
        <w:spacing w:before="0" w:after="0" w:line="360" w:lineRule="auto"/>
        <w:ind w:firstLine="369" w:firstLineChars="175"/>
        <w:rPr>
          <w:rFonts w:ascii="宋体" w:hAnsi="宋体"/>
          <w:sz w:val="21"/>
          <w:szCs w:val="21"/>
        </w:rPr>
      </w:pPr>
      <w:r>
        <w:rPr>
          <w:rFonts w:hint="eastAsia" w:ascii="宋体" w:hAnsi="宋体"/>
          <w:sz w:val="21"/>
          <w:szCs w:val="21"/>
        </w:rPr>
        <w:t>8.4投标人在投标活动中提供任何虚假材料，将报监管部门查处；中标后发现的，中标人须依照《中华人民共和国消费者权益保护法》规定赔偿采购人，且民事赔偿并不免除违法投标人的行政与刑事责任。</w:t>
      </w:r>
    </w:p>
    <w:p w14:paraId="6C99BF98">
      <w:pPr>
        <w:pStyle w:val="7"/>
        <w:keepNext w:val="0"/>
        <w:keepLines w:val="0"/>
        <w:spacing w:before="0" w:after="0" w:line="360" w:lineRule="auto"/>
        <w:ind w:left="420" w:leftChars="200"/>
        <w:rPr>
          <w:rFonts w:ascii="黑体" w:hAnsi="黑体" w:eastAsia="黑体"/>
          <w:sz w:val="24"/>
        </w:rPr>
      </w:pPr>
      <w:r>
        <w:rPr>
          <w:rFonts w:ascii="黑体" w:hAnsi="黑体" w:eastAsia="黑体"/>
          <w:sz w:val="24"/>
        </w:rPr>
        <w:t>9.</w:t>
      </w:r>
      <w:r>
        <w:rPr>
          <w:rFonts w:hint="eastAsia" w:ascii="黑体" w:hAnsi="黑体" w:eastAsia="黑体"/>
          <w:sz w:val="24"/>
        </w:rPr>
        <w:t>回避与串通投标</w:t>
      </w:r>
    </w:p>
    <w:p w14:paraId="21C1EC62">
      <w:pPr>
        <w:pStyle w:val="7"/>
        <w:keepNext w:val="0"/>
        <w:keepLines w:val="0"/>
        <w:spacing w:before="0" w:after="0" w:line="360" w:lineRule="auto"/>
        <w:ind w:firstLine="369" w:firstLineChars="175"/>
        <w:rPr>
          <w:rFonts w:ascii="宋体" w:hAnsi="宋体"/>
          <w:sz w:val="21"/>
          <w:szCs w:val="21"/>
        </w:rPr>
      </w:pPr>
      <w:r>
        <w:rPr>
          <w:rFonts w:hint="eastAsia" w:ascii="宋体" w:hAnsi="宋体"/>
          <w:sz w:val="21"/>
          <w:szCs w:val="21"/>
        </w:rPr>
        <w:t>9</w:t>
      </w:r>
      <w:r>
        <w:rPr>
          <w:rFonts w:ascii="宋体" w:hAnsi="宋体"/>
          <w:sz w:val="21"/>
          <w:szCs w:val="21"/>
        </w:rPr>
        <w:t>.1在政府采购活动中，采购人员及相关人员与</w:t>
      </w:r>
      <w:r>
        <w:rPr>
          <w:rFonts w:hint="eastAsia" w:ascii="宋体" w:hAnsi="宋体"/>
          <w:sz w:val="21"/>
          <w:szCs w:val="21"/>
        </w:rPr>
        <w:t>供应商</w:t>
      </w:r>
      <w:r>
        <w:rPr>
          <w:rFonts w:ascii="宋体" w:hAnsi="宋体"/>
          <w:sz w:val="21"/>
          <w:szCs w:val="21"/>
        </w:rPr>
        <w:t>有下列利害关系之一的，应当回避：</w:t>
      </w:r>
    </w:p>
    <w:p w14:paraId="50C6AC92">
      <w:pPr>
        <w:pStyle w:val="15"/>
        <w:snapToGrid w:val="0"/>
        <w:spacing w:line="360" w:lineRule="auto"/>
        <w:ind w:left="2" w:leftChars="1" w:firstLine="422" w:firstLineChars="200"/>
        <w:rPr>
          <w:rFonts w:hAnsi="宋体"/>
          <w:b/>
          <w:kern w:val="2"/>
          <w:sz w:val="21"/>
        </w:rPr>
      </w:pPr>
      <w:r>
        <w:rPr>
          <w:rFonts w:hAnsi="宋体"/>
          <w:b/>
          <w:kern w:val="2"/>
          <w:sz w:val="21"/>
        </w:rPr>
        <w:t>（</w:t>
      </w:r>
      <w:r>
        <w:rPr>
          <w:rFonts w:hint="eastAsia" w:hAnsi="宋体"/>
          <w:b/>
          <w:kern w:val="2"/>
          <w:sz w:val="21"/>
        </w:rPr>
        <w:t>1</w:t>
      </w:r>
      <w:r>
        <w:rPr>
          <w:rFonts w:hAnsi="宋体"/>
          <w:b/>
          <w:kern w:val="2"/>
          <w:sz w:val="21"/>
        </w:rPr>
        <w:t>）参加采购活动前3年内与</w:t>
      </w:r>
      <w:r>
        <w:rPr>
          <w:rFonts w:hint="eastAsia" w:hAnsi="宋体"/>
          <w:b/>
          <w:kern w:val="2"/>
          <w:sz w:val="21"/>
        </w:rPr>
        <w:t>供应商</w:t>
      </w:r>
      <w:r>
        <w:rPr>
          <w:rFonts w:hAnsi="宋体"/>
          <w:b/>
          <w:kern w:val="2"/>
          <w:sz w:val="21"/>
        </w:rPr>
        <w:t>存在劳动关系；</w:t>
      </w:r>
    </w:p>
    <w:p w14:paraId="3C112BCB">
      <w:pPr>
        <w:pStyle w:val="15"/>
        <w:snapToGrid w:val="0"/>
        <w:spacing w:line="360" w:lineRule="auto"/>
        <w:ind w:left="2" w:leftChars="1" w:firstLine="422" w:firstLineChars="200"/>
        <w:rPr>
          <w:rFonts w:hAnsi="宋体"/>
          <w:b/>
          <w:kern w:val="2"/>
          <w:sz w:val="21"/>
        </w:rPr>
      </w:pPr>
      <w:r>
        <w:rPr>
          <w:rFonts w:hAnsi="宋体"/>
          <w:b/>
          <w:kern w:val="2"/>
          <w:sz w:val="21"/>
        </w:rPr>
        <w:t>（</w:t>
      </w:r>
      <w:r>
        <w:rPr>
          <w:rFonts w:hint="eastAsia" w:hAnsi="宋体"/>
          <w:b/>
          <w:kern w:val="2"/>
          <w:sz w:val="21"/>
        </w:rPr>
        <w:t>2</w:t>
      </w:r>
      <w:r>
        <w:rPr>
          <w:rFonts w:hAnsi="宋体"/>
          <w:b/>
          <w:kern w:val="2"/>
          <w:sz w:val="21"/>
        </w:rPr>
        <w:t>）参加采购活动前3年内担任</w:t>
      </w:r>
      <w:r>
        <w:rPr>
          <w:rFonts w:hint="eastAsia" w:hAnsi="宋体"/>
          <w:b/>
          <w:kern w:val="2"/>
          <w:sz w:val="21"/>
        </w:rPr>
        <w:t>供应商</w:t>
      </w:r>
      <w:r>
        <w:rPr>
          <w:rFonts w:hAnsi="宋体"/>
          <w:b/>
          <w:kern w:val="2"/>
          <w:sz w:val="21"/>
        </w:rPr>
        <w:t>的董事、监事；</w:t>
      </w:r>
    </w:p>
    <w:p w14:paraId="2CBD384C">
      <w:pPr>
        <w:pStyle w:val="15"/>
        <w:snapToGrid w:val="0"/>
        <w:spacing w:line="360" w:lineRule="auto"/>
        <w:ind w:left="2" w:leftChars="1" w:firstLine="422" w:firstLineChars="200"/>
        <w:rPr>
          <w:rFonts w:hAnsi="宋体"/>
          <w:b/>
          <w:kern w:val="2"/>
          <w:sz w:val="21"/>
        </w:rPr>
      </w:pPr>
      <w:r>
        <w:rPr>
          <w:rFonts w:hAnsi="宋体"/>
          <w:b/>
          <w:kern w:val="2"/>
          <w:sz w:val="21"/>
        </w:rPr>
        <w:t>（</w:t>
      </w:r>
      <w:r>
        <w:rPr>
          <w:rFonts w:hint="eastAsia" w:hAnsi="宋体"/>
          <w:b/>
          <w:kern w:val="2"/>
          <w:sz w:val="21"/>
        </w:rPr>
        <w:t>3</w:t>
      </w:r>
      <w:r>
        <w:rPr>
          <w:rFonts w:hAnsi="宋体"/>
          <w:b/>
          <w:kern w:val="2"/>
          <w:sz w:val="21"/>
        </w:rPr>
        <w:t>）参加采购活动前3年内是</w:t>
      </w:r>
      <w:r>
        <w:rPr>
          <w:rFonts w:hint="eastAsia" w:hAnsi="宋体"/>
          <w:b/>
          <w:kern w:val="2"/>
          <w:sz w:val="21"/>
        </w:rPr>
        <w:t>供应商</w:t>
      </w:r>
      <w:r>
        <w:rPr>
          <w:rFonts w:hAnsi="宋体"/>
          <w:b/>
          <w:kern w:val="2"/>
          <w:sz w:val="21"/>
        </w:rPr>
        <w:t>的控股股东或者实际控制人；</w:t>
      </w:r>
    </w:p>
    <w:p w14:paraId="11C3D667">
      <w:pPr>
        <w:pStyle w:val="15"/>
        <w:snapToGrid w:val="0"/>
        <w:spacing w:line="360" w:lineRule="auto"/>
        <w:ind w:left="2" w:leftChars="1" w:firstLine="422" w:firstLineChars="200"/>
        <w:rPr>
          <w:rFonts w:hAnsi="宋体"/>
          <w:b/>
          <w:kern w:val="2"/>
          <w:sz w:val="21"/>
        </w:rPr>
      </w:pPr>
      <w:r>
        <w:rPr>
          <w:rFonts w:hAnsi="宋体"/>
          <w:b/>
          <w:kern w:val="2"/>
          <w:sz w:val="21"/>
        </w:rPr>
        <w:t>（</w:t>
      </w:r>
      <w:r>
        <w:rPr>
          <w:rFonts w:hint="eastAsia" w:hAnsi="宋体"/>
          <w:b/>
          <w:kern w:val="2"/>
          <w:sz w:val="21"/>
        </w:rPr>
        <w:t>4</w:t>
      </w:r>
      <w:r>
        <w:rPr>
          <w:rFonts w:hAnsi="宋体"/>
          <w:b/>
          <w:kern w:val="2"/>
          <w:sz w:val="21"/>
        </w:rPr>
        <w:t>）与</w:t>
      </w:r>
      <w:r>
        <w:rPr>
          <w:rFonts w:hint="eastAsia" w:hAnsi="宋体"/>
          <w:b/>
          <w:kern w:val="2"/>
          <w:sz w:val="21"/>
        </w:rPr>
        <w:t>供应商</w:t>
      </w:r>
      <w:r>
        <w:rPr>
          <w:rFonts w:hAnsi="宋体"/>
          <w:b/>
          <w:kern w:val="2"/>
          <w:sz w:val="21"/>
        </w:rPr>
        <w:t>的法定代表人或者负责人有夫妻、直系血亲、三代以内旁系血亲或者近姻亲关系；</w:t>
      </w:r>
    </w:p>
    <w:p w14:paraId="3459A4B7">
      <w:pPr>
        <w:pStyle w:val="15"/>
        <w:snapToGrid w:val="0"/>
        <w:spacing w:line="360" w:lineRule="auto"/>
        <w:ind w:left="2" w:leftChars="1" w:firstLine="422" w:firstLineChars="200"/>
        <w:rPr>
          <w:rFonts w:hAnsi="宋体"/>
          <w:b/>
          <w:kern w:val="2"/>
          <w:sz w:val="21"/>
        </w:rPr>
      </w:pPr>
      <w:r>
        <w:rPr>
          <w:rFonts w:hAnsi="宋体"/>
          <w:b/>
          <w:kern w:val="2"/>
          <w:sz w:val="21"/>
        </w:rPr>
        <w:t>（</w:t>
      </w:r>
      <w:r>
        <w:rPr>
          <w:rFonts w:hint="eastAsia" w:hAnsi="宋体"/>
          <w:b/>
          <w:kern w:val="2"/>
          <w:sz w:val="21"/>
        </w:rPr>
        <w:t>5</w:t>
      </w:r>
      <w:r>
        <w:rPr>
          <w:rFonts w:hAnsi="宋体"/>
          <w:b/>
          <w:kern w:val="2"/>
          <w:sz w:val="21"/>
        </w:rPr>
        <w:t>）与</w:t>
      </w:r>
      <w:r>
        <w:rPr>
          <w:rFonts w:hint="eastAsia" w:hAnsi="宋体"/>
          <w:b/>
          <w:kern w:val="2"/>
          <w:sz w:val="21"/>
        </w:rPr>
        <w:t>供应商</w:t>
      </w:r>
      <w:r>
        <w:rPr>
          <w:rFonts w:hAnsi="宋体"/>
          <w:b/>
          <w:kern w:val="2"/>
          <w:sz w:val="21"/>
        </w:rPr>
        <w:t>有其他可能影响政府采购活动公平、公正进行的关系。</w:t>
      </w:r>
    </w:p>
    <w:p w14:paraId="5E1EA39F">
      <w:pPr>
        <w:pStyle w:val="15"/>
        <w:snapToGrid w:val="0"/>
        <w:spacing w:line="360" w:lineRule="auto"/>
        <w:ind w:left="2" w:leftChars="1" w:firstLine="422" w:firstLineChars="200"/>
        <w:rPr>
          <w:rFonts w:hAnsi="宋体"/>
          <w:b/>
          <w:kern w:val="2"/>
          <w:sz w:val="21"/>
        </w:rPr>
      </w:pPr>
      <w:r>
        <w:rPr>
          <w:rFonts w:hint="eastAsia" w:hAnsi="宋体"/>
          <w:b/>
          <w:kern w:val="2"/>
          <w:sz w:val="21"/>
        </w:rPr>
        <w:t>供应商</w:t>
      </w:r>
      <w:r>
        <w:rPr>
          <w:rFonts w:hAnsi="宋体"/>
          <w:b/>
          <w:kern w:val="2"/>
          <w:sz w:val="21"/>
        </w:rPr>
        <w:t>认为采购人员及相关人员与其他</w:t>
      </w:r>
      <w:r>
        <w:rPr>
          <w:rFonts w:hint="eastAsia" w:hAnsi="宋体"/>
          <w:b/>
          <w:kern w:val="2"/>
          <w:sz w:val="21"/>
        </w:rPr>
        <w:t>供应商</w:t>
      </w:r>
      <w:r>
        <w:rPr>
          <w:rFonts w:hAnsi="宋体"/>
          <w:b/>
          <w:kern w:val="2"/>
          <w:sz w:val="21"/>
        </w:rPr>
        <w:t>有利害关系的，可以向采购人或者采购代理机构书面提出回避申请，并说明理由。采购人或者采购代理机构应当及时询问被申请回避人员，有利害关系的被申请回避人员应当回避。</w:t>
      </w:r>
    </w:p>
    <w:p w14:paraId="21C5E817">
      <w:pPr>
        <w:pStyle w:val="7"/>
        <w:keepNext w:val="0"/>
        <w:keepLines w:val="0"/>
        <w:spacing w:before="0" w:after="0" w:line="360" w:lineRule="auto"/>
        <w:ind w:left="420" w:leftChars="200"/>
        <w:rPr>
          <w:rFonts w:ascii="宋体" w:hAnsi="宋体"/>
          <w:sz w:val="21"/>
          <w:szCs w:val="21"/>
        </w:rPr>
      </w:pPr>
      <w:r>
        <w:rPr>
          <w:rFonts w:ascii="宋体" w:hAnsi="宋体"/>
          <w:sz w:val="21"/>
          <w:szCs w:val="21"/>
        </w:rPr>
        <w:t>9.2</w:t>
      </w:r>
      <w:r>
        <w:rPr>
          <w:rFonts w:hint="eastAsia" w:ascii="宋体" w:hAnsi="宋体"/>
          <w:sz w:val="21"/>
          <w:szCs w:val="21"/>
        </w:rPr>
        <w:t>有下列情形之一的视为投标人相互串通投标，投标文件将被视为无效：</w:t>
      </w:r>
    </w:p>
    <w:p w14:paraId="5D897459">
      <w:pPr>
        <w:pStyle w:val="15"/>
        <w:snapToGrid w:val="0"/>
        <w:spacing w:line="360" w:lineRule="auto"/>
        <w:ind w:left="2" w:leftChars="1" w:firstLine="422" w:firstLineChars="200"/>
        <w:rPr>
          <w:rFonts w:hAnsi="宋体"/>
          <w:b/>
          <w:kern w:val="2"/>
          <w:sz w:val="21"/>
        </w:rPr>
      </w:pPr>
      <w:r>
        <w:rPr>
          <w:rFonts w:hint="eastAsia" w:hAnsi="宋体"/>
          <w:b/>
          <w:kern w:val="2"/>
          <w:sz w:val="21"/>
        </w:rPr>
        <w:t>（1）不同投标人的投标文件由同一单位或者个人编制；或者不同投标人报名的IP地址一致的；</w:t>
      </w:r>
    </w:p>
    <w:p w14:paraId="4017C793">
      <w:pPr>
        <w:pStyle w:val="15"/>
        <w:snapToGrid w:val="0"/>
        <w:spacing w:line="360" w:lineRule="auto"/>
        <w:ind w:left="2" w:leftChars="1" w:firstLine="422" w:firstLineChars="200"/>
        <w:rPr>
          <w:rFonts w:hAnsi="宋体"/>
          <w:b/>
          <w:kern w:val="2"/>
          <w:sz w:val="21"/>
        </w:rPr>
      </w:pPr>
      <w:r>
        <w:rPr>
          <w:rFonts w:hint="eastAsia" w:hAnsi="宋体"/>
          <w:b/>
          <w:kern w:val="2"/>
          <w:sz w:val="21"/>
        </w:rPr>
        <w:t>（2）不同投标人委托同一单位或者个人办理投标事宜；</w:t>
      </w:r>
    </w:p>
    <w:p w14:paraId="37D8B8A9">
      <w:pPr>
        <w:pStyle w:val="15"/>
        <w:snapToGrid w:val="0"/>
        <w:spacing w:line="360" w:lineRule="auto"/>
        <w:ind w:left="2" w:leftChars="1" w:firstLine="422" w:firstLineChars="200"/>
        <w:rPr>
          <w:rFonts w:hAnsi="宋体"/>
          <w:b/>
          <w:kern w:val="2"/>
          <w:sz w:val="21"/>
        </w:rPr>
      </w:pPr>
      <w:r>
        <w:rPr>
          <w:rFonts w:hint="eastAsia" w:hAnsi="宋体"/>
          <w:b/>
          <w:kern w:val="2"/>
          <w:sz w:val="21"/>
        </w:rPr>
        <w:t>（3）不同的投标人的投标文件载明的项目管理员为同一个人；</w:t>
      </w:r>
    </w:p>
    <w:p w14:paraId="06C9D9CC">
      <w:pPr>
        <w:pStyle w:val="15"/>
        <w:snapToGrid w:val="0"/>
        <w:spacing w:line="360" w:lineRule="auto"/>
        <w:ind w:left="2" w:leftChars="1" w:firstLine="422" w:firstLineChars="200"/>
        <w:rPr>
          <w:rFonts w:hAnsi="宋体"/>
          <w:b/>
          <w:kern w:val="2"/>
          <w:sz w:val="21"/>
        </w:rPr>
      </w:pPr>
      <w:r>
        <w:rPr>
          <w:rFonts w:hint="eastAsia" w:hAnsi="宋体"/>
          <w:b/>
          <w:kern w:val="2"/>
          <w:sz w:val="21"/>
        </w:rPr>
        <w:t>（4）不同投标人的投标文件异常一致或者投标报价呈规律性差异；</w:t>
      </w:r>
    </w:p>
    <w:p w14:paraId="3213150A">
      <w:pPr>
        <w:pStyle w:val="15"/>
        <w:snapToGrid w:val="0"/>
        <w:spacing w:line="360" w:lineRule="auto"/>
        <w:ind w:left="2" w:leftChars="1" w:firstLine="422" w:firstLineChars="200"/>
        <w:rPr>
          <w:rFonts w:hAnsi="宋体"/>
          <w:b/>
          <w:kern w:val="2"/>
          <w:sz w:val="21"/>
        </w:rPr>
      </w:pPr>
      <w:r>
        <w:rPr>
          <w:rFonts w:hint="eastAsia" w:hAnsi="宋体"/>
          <w:b/>
          <w:kern w:val="2"/>
          <w:sz w:val="21"/>
        </w:rPr>
        <w:t>（5）不同投标人的投标保证金从同一单位或者个人账户转出。</w:t>
      </w:r>
    </w:p>
    <w:p w14:paraId="6D5B237B">
      <w:pPr>
        <w:pStyle w:val="7"/>
        <w:keepNext w:val="0"/>
        <w:keepLines w:val="0"/>
        <w:spacing w:before="0" w:after="0" w:line="360" w:lineRule="auto"/>
        <w:ind w:left="420" w:leftChars="200"/>
        <w:rPr>
          <w:rFonts w:ascii="宋体" w:hAnsi="宋体"/>
          <w:sz w:val="21"/>
          <w:szCs w:val="21"/>
        </w:rPr>
      </w:pPr>
      <w:r>
        <w:rPr>
          <w:rFonts w:ascii="宋体" w:hAnsi="宋体"/>
          <w:sz w:val="21"/>
          <w:szCs w:val="21"/>
        </w:rPr>
        <w:t>9.3</w:t>
      </w:r>
      <w:r>
        <w:rPr>
          <w:rFonts w:hint="eastAsia" w:ascii="宋体" w:hAnsi="宋体"/>
          <w:sz w:val="21"/>
          <w:szCs w:val="21"/>
        </w:rPr>
        <w:t>供应商有下列情形之一的，属于恶意串通行为，将报同级监督管理部门：</w:t>
      </w:r>
    </w:p>
    <w:p w14:paraId="507C5240">
      <w:pPr>
        <w:pStyle w:val="15"/>
        <w:snapToGrid w:val="0"/>
        <w:spacing w:line="360" w:lineRule="auto"/>
        <w:ind w:left="2" w:leftChars="1" w:firstLine="422" w:firstLineChars="200"/>
        <w:rPr>
          <w:rFonts w:hAnsi="宋体"/>
          <w:b/>
          <w:kern w:val="2"/>
          <w:sz w:val="21"/>
        </w:rPr>
      </w:pPr>
      <w:r>
        <w:rPr>
          <w:rFonts w:hint="eastAsia" w:hAnsi="宋体"/>
          <w:b/>
          <w:kern w:val="2"/>
          <w:sz w:val="21"/>
        </w:rPr>
        <w:t>（1）供应商直接或者间接从采购人或者采购代理机构处获得其他供应商的相关信息并修改其投标文件或者响应文件；</w:t>
      </w:r>
    </w:p>
    <w:p w14:paraId="4215E34B">
      <w:pPr>
        <w:pStyle w:val="15"/>
        <w:snapToGrid w:val="0"/>
        <w:spacing w:line="360" w:lineRule="auto"/>
        <w:ind w:left="2" w:leftChars="1" w:firstLine="422" w:firstLineChars="200"/>
        <w:rPr>
          <w:rFonts w:hAnsi="宋体"/>
          <w:b/>
          <w:kern w:val="2"/>
          <w:sz w:val="21"/>
        </w:rPr>
      </w:pPr>
      <w:r>
        <w:rPr>
          <w:rFonts w:hint="eastAsia" w:hAnsi="宋体"/>
          <w:b/>
          <w:kern w:val="2"/>
          <w:sz w:val="21"/>
        </w:rPr>
        <w:t>（2）供应商按照采购人或者采购代理机构的授意撤换、修改投标文件或者响应文件；</w:t>
      </w:r>
    </w:p>
    <w:p w14:paraId="6C2FE2A3">
      <w:pPr>
        <w:pStyle w:val="15"/>
        <w:snapToGrid w:val="0"/>
        <w:spacing w:line="360" w:lineRule="auto"/>
        <w:ind w:left="2" w:leftChars="1" w:firstLine="422" w:firstLineChars="200"/>
        <w:rPr>
          <w:rFonts w:hAnsi="宋体"/>
          <w:b/>
          <w:kern w:val="2"/>
          <w:sz w:val="21"/>
        </w:rPr>
      </w:pPr>
      <w:r>
        <w:rPr>
          <w:rFonts w:hint="eastAsia" w:hAnsi="宋体"/>
          <w:b/>
          <w:kern w:val="2"/>
          <w:sz w:val="21"/>
        </w:rPr>
        <w:t>（3）供应商之间协商报价、技术方案等投标文件或者响应文件的实质性内容；</w:t>
      </w:r>
    </w:p>
    <w:p w14:paraId="522D510C">
      <w:pPr>
        <w:pStyle w:val="15"/>
        <w:snapToGrid w:val="0"/>
        <w:spacing w:line="360" w:lineRule="auto"/>
        <w:ind w:left="2" w:leftChars="1" w:firstLine="422" w:firstLineChars="200"/>
        <w:rPr>
          <w:rFonts w:hAnsi="宋体"/>
          <w:b/>
          <w:kern w:val="2"/>
          <w:sz w:val="21"/>
        </w:rPr>
      </w:pPr>
      <w:r>
        <w:rPr>
          <w:rFonts w:hint="eastAsia" w:hAnsi="宋体"/>
          <w:b/>
          <w:kern w:val="2"/>
          <w:sz w:val="21"/>
        </w:rPr>
        <w:t>（4）属于同一集团、协会、商会等组织成员的供应商按照该组织要求协同参加政府采购活动；</w:t>
      </w:r>
    </w:p>
    <w:p w14:paraId="47668EF5">
      <w:pPr>
        <w:pStyle w:val="15"/>
        <w:snapToGrid w:val="0"/>
        <w:spacing w:line="360" w:lineRule="auto"/>
        <w:ind w:left="2" w:leftChars="1" w:firstLine="422" w:firstLineChars="200"/>
        <w:rPr>
          <w:rFonts w:hAnsi="宋体"/>
          <w:b/>
          <w:kern w:val="2"/>
          <w:sz w:val="21"/>
        </w:rPr>
      </w:pPr>
      <w:r>
        <w:rPr>
          <w:rFonts w:hint="eastAsia" w:hAnsi="宋体"/>
          <w:b/>
          <w:kern w:val="2"/>
          <w:sz w:val="21"/>
        </w:rPr>
        <w:t>（5）供应商之间事先约定一致抬高或者压低投标报价，或者在招标项目中事先约定轮流以高价位或者低价位中标，或者事先约定由某一特定供应商中标，然后再参加投标；</w:t>
      </w:r>
    </w:p>
    <w:p w14:paraId="378E93C1">
      <w:pPr>
        <w:pStyle w:val="15"/>
        <w:snapToGrid w:val="0"/>
        <w:spacing w:line="360" w:lineRule="auto"/>
        <w:ind w:left="2" w:leftChars="1" w:firstLine="422" w:firstLineChars="200"/>
        <w:rPr>
          <w:rFonts w:hAnsi="宋体"/>
          <w:b/>
          <w:kern w:val="2"/>
          <w:sz w:val="21"/>
        </w:rPr>
      </w:pPr>
      <w:r>
        <w:rPr>
          <w:rFonts w:hint="eastAsia" w:hAnsi="宋体"/>
          <w:b/>
          <w:kern w:val="2"/>
          <w:sz w:val="21"/>
        </w:rPr>
        <w:t>（6）供应商之间商定部分供应商放弃参加政府采购活动或者放弃中标；</w:t>
      </w:r>
    </w:p>
    <w:p w14:paraId="72F39501">
      <w:pPr>
        <w:pStyle w:val="15"/>
        <w:snapToGrid w:val="0"/>
        <w:spacing w:line="360" w:lineRule="auto"/>
        <w:ind w:left="2" w:leftChars="1" w:firstLine="422" w:firstLineChars="200"/>
        <w:rPr>
          <w:rFonts w:hAnsi="宋体"/>
          <w:b/>
          <w:kern w:val="2"/>
          <w:sz w:val="21"/>
        </w:rPr>
      </w:pPr>
      <w:r>
        <w:rPr>
          <w:rFonts w:hint="eastAsia" w:hAnsi="宋体"/>
          <w:b/>
          <w:kern w:val="2"/>
          <w:sz w:val="21"/>
        </w:rPr>
        <w:t>（7）供应商与采购人或者采购代理机构之间、供应商相互之间，为谋求特定供应商中标或者排斥其他供应商的其他串通行为。</w:t>
      </w:r>
    </w:p>
    <w:p w14:paraId="5E9831D8">
      <w:pPr>
        <w:snapToGrid w:val="0"/>
        <w:spacing w:line="380" w:lineRule="exact"/>
        <w:ind w:left="2" w:leftChars="1" w:firstLine="422" w:firstLineChars="200"/>
        <w:rPr>
          <w:rFonts w:ascii="宋体" w:hAnsi="宋体" w:cs="宋体"/>
          <w:b/>
          <w:szCs w:val="21"/>
        </w:rPr>
      </w:pPr>
      <w:r>
        <w:rPr>
          <w:rFonts w:hint="eastAsia" w:ascii="宋体" w:hAnsi="宋体" w:cs="宋体"/>
          <w:b/>
          <w:szCs w:val="21"/>
        </w:rPr>
        <w:t>9.4关联供应商不得参加同一合同项下政府采购活动，否则投标文件将被视为无效：</w:t>
      </w:r>
    </w:p>
    <w:p w14:paraId="05185877">
      <w:pPr>
        <w:snapToGrid w:val="0"/>
        <w:spacing w:line="380" w:lineRule="exact"/>
        <w:ind w:left="2" w:leftChars="1" w:firstLine="420" w:firstLineChars="200"/>
        <w:rPr>
          <w:rFonts w:ascii="宋体" w:hAnsi="宋体" w:cs="宋体"/>
          <w:bCs/>
          <w:szCs w:val="21"/>
        </w:rPr>
      </w:pPr>
      <w:r>
        <w:rPr>
          <w:rFonts w:hint="eastAsia" w:ascii="宋体" w:hAnsi="宋体" w:cs="宋体"/>
          <w:bCs/>
          <w:szCs w:val="21"/>
        </w:rPr>
        <w:t>单位负责人为同一人或者存在直接控股、管理关系的不同的供应商，不得参加同一合同项下的政府采购活动；</w:t>
      </w:r>
    </w:p>
    <w:p w14:paraId="21756E2E">
      <w:pPr>
        <w:pStyle w:val="5"/>
        <w:keepNext w:val="0"/>
        <w:keepLines w:val="0"/>
        <w:jc w:val="center"/>
      </w:pPr>
      <w:bookmarkStart w:id="92" w:name="_Toc254970534"/>
      <w:bookmarkStart w:id="93" w:name="_Toc254970675"/>
      <w:r>
        <w:rPr>
          <w:rFonts w:hint="eastAsia"/>
        </w:rPr>
        <w:t>二、招标文件</w:t>
      </w:r>
      <w:bookmarkEnd w:id="92"/>
      <w:bookmarkEnd w:id="93"/>
    </w:p>
    <w:p w14:paraId="6B64EA2D">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10.招标文件的组成</w:t>
      </w:r>
    </w:p>
    <w:p w14:paraId="1D8D9CCF">
      <w:pPr>
        <w:pStyle w:val="7"/>
        <w:keepNext w:val="0"/>
        <w:keepLines w:val="0"/>
        <w:spacing w:before="0" w:after="0" w:line="360" w:lineRule="auto"/>
        <w:ind w:left="420" w:leftChars="200"/>
        <w:rPr>
          <w:rFonts w:ascii="宋体" w:hAnsi="宋体"/>
          <w:b w:val="0"/>
          <w:kern w:val="0"/>
          <w:sz w:val="21"/>
          <w:szCs w:val="21"/>
        </w:rPr>
      </w:pPr>
      <w:r>
        <w:rPr>
          <w:rFonts w:hint="eastAsia" w:ascii="宋体" w:hAnsi="宋体"/>
          <w:b w:val="0"/>
          <w:kern w:val="0"/>
          <w:sz w:val="21"/>
          <w:szCs w:val="21"/>
        </w:rPr>
        <w:t>第一章 招标公告；</w:t>
      </w:r>
    </w:p>
    <w:p w14:paraId="2050DCB5">
      <w:pPr>
        <w:pStyle w:val="7"/>
        <w:keepNext w:val="0"/>
        <w:keepLines w:val="0"/>
        <w:spacing w:before="0" w:after="0" w:line="360" w:lineRule="auto"/>
        <w:ind w:left="420" w:leftChars="200"/>
        <w:rPr>
          <w:rFonts w:ascii="宋体" w:hAnsi="宋体"/>
          <w:b w:val="0"/>
          <w:kern w:val="0"/>
          <w:sz w:val="21"/>
          <w:szCs w:val="21"/>
        </w:rPr>
      </w:pPr>
      <w:r>
        <w:rPr>
          <w:rFonts w:hint="eastAsia" w:ascii="宋体" w:hAnsi="宋体"/>
          <w:b w:val="0"/>
          <w:kern w:val="0"/>
          <w:sz w:val="21"/>
          <w:szCs w:val="21"/>
        </w:rPr>
        <w:t xml:space="preserve">第二章 采购需求； </w:t>
      </w:r>
    </w:p>
    <w:p w14:paraId="7D07AA36">
      <w:pPr>
        <w:pStyle w:val="7"/>
        <w:keepNext w:val="0"/>
        <w:keepLines w:val="0"/>
        <w:spacing w:before="0" w:after="0" w:line="360" w:lineRule="auto"/>
        <w:ind w:left="420" w:leftChars="200"/>
        <w:rPr>
          <w:rFonts w:ascii="宋体" w:hAnsi="宋体"/>
          <w:b w:val="0"/>
          <w:kern w:val="0"/>
          <w:sz w:val="21"/>
          <w:szCs w:val="21"/>
        </w:rPr>
      </w:pPr>
      <w:r>
        <w:rPr>
          <w:rFonts w:hint="eastAsia" w:ascii="宋体" w:hAnsi="宋体"/>
          <w:b w:val="0"/>
          <w:kern w:val="0"/>
          <w:sz w:val="21"/>
          <w:szCs w:val="21"/>
        </w:rPr>
        <w:t>第三章 投标人须知；</w:t>
      </w:r>
    </w:p>
    <w:p w14:paraId="18BED9F3">
      <w:pPr>
        <w:pStyle w:val="7"/>
        <w:keepNext w:val="0"/>
        <w:keepLines w:val="0"/>
        <w:spacing w:before="0" w:after="0" w:line="360" w:lineRule="auto"/>
        <w:ind w:left="420" w:leftChars="200"/>
        <w:rPr>
          <w:rFonts w:ascii="宋体" w:hAnsi="宋体"/>
          <w:b w:val="0"/>
          <w:kern w:val="0"/>
          <w:sz w:val="21"/>
          <w:szCs w:val="21"/>
        </w:rPr>
      </w:pPr>
      <w:r>
        <w:rPr>
          <w:rFonts w:hint="eastAsia" w:ascii="宋体" w:hAnsi="宋体"/>
          <w:b w:val="0"/>
          <w:kern w:val="0"/>
          <w:sz w:val="21"/>
          <w:szCs w:val="21"/>
        </w:rPr>
        <w:t>第四章 评标方法及评标标准；</w:t>
      </w:r>
    </w:p>
    <w:p w14:paraId="34AF152B">
      <w:pPr>
        <w:pStyle w:val="7"/>
        <w:keepNext w:val="0"/>
        <w:keepLines w:val="0"/>
        <w:spacing w:before="0" w:after="0" w:line="360" w:lineRule="auto"/>
        <w:ind w:left="420" w:leftChars="200"/>
        <w:rPr>
          <w:rFonts w:ascii="宋体" w:hAnsi="宋体"/>
          <w:b w:val="0"/>
          <w:kern w:val="0"/>
          <w:sz w:val="21"/>
          <w:szCs w:val="21"/>
        </w:rPr>
      </w:pPr>
      <w:r>
        <w:rPr>
          <w:rFonts w:hint="eastAsia" w:ascii="宋体" w:hAnsi="宋体"/>
          <w:b w:val="0"/>
          <w:kern w:val="0"/>
          <w:sz w:val="21"/>
          <w:szCs w:val="21"/>
        </w:rPr>
        <w:t>第五章 拟签订的合同文本；</w:t>
      </w:r>
    </w:p>
    <w:p w14:paraId="0B88EB53">
      <w:pPr>
        <w:pStyle w:val="7"/>
        <w:keepNext w:val="0"/>
        <w:keepLines w:val="0"/>
        <w:spacing w:before="0" w:after="0" w:line="360" w:lineRule="auto"/>
        <w:ind w:left="420" w:leftChars="200"/>
        <w:rPr>
          <w:rFonts w:ascii="宋体" w:hAnsi="宋体"/>
          <w:b w:val="0"/>
          <w:kern w:val="0"/>
          <w:sz w:val="21"/>
          <w:szCs w:val="21"/>
        </w:rPr>
      </w:pPr>
      <w:r>
        <w:rPr>
          <w:rFonts w:hint="eastAsia" w:ascii="宋体" w:hAnsi="宋体"/>
          <w:b w:val="0"/>
          <w:kern w:val="0"/>
          <w:sz w:val="21"/>
          <w:szCs w:val="21"/>
        </w:rPr>
        <w:t>第六章 投标文件格式；</w:t>
      </w:r>
    </w:p>
    <w:p w14:paraId="51C176C1">
      <w:pPr>
        <w:pStyle w:val="7"/>
        <w:keepNext w:val="0"/>
        <w:keepLines w:val="0"/>
        <w:spacing w:before="0" w:after="0" w:line="360" w:lineRule="auto"/>
        <w:ind w:left="420" w:leftChars="200"/>
        <w:rPr>
          <w:rFonts w:ascii="宋体" w:hAnsi="宋体"/>
          <w:b w:val="0"/>
          <w:kern w:val="0"/>
          <w:sz w:val="21"/>
          <w:szCs w:val="21"/>
        </w:rPr>
      </w:pPr>
      <w:r>
        <w:rPr>
          <w:rFonts w:hint="eastAsia" w:ascii="宋体" w:hAnsi="宋体"/>
          <w:b w:val="0"/>
          <w:kern w:val="0"/>
          <w:sz w:val="21"/>
          <w:szCs w:val="21"/>
        </w:rPr>
        <w:t>第七章 其他文书、文件格式</w:t>
      </w:r>
    </w:p>
    <w:p w14:paraId="1F267C0E">
      <w:pPr>
        <w:pStyle w:val="7"/>
        <w:keepNext w:val="0"/>
        <w:keepLines w:val="0"/>
        <w:spacing w:before="0" w:after="0" w:line="360" w:lineRule="auto"/>
        <w:ind w:firstLine="420" w:firstLineChars="200"/>
        <w:rPr>
          <w:rFonts w:ascii="宋体" w:hAnsi="宋体"/>
          <w:b w:val="0"/>
          <w:kern w:val="0"/>
          <w:sz w:val="21"/>
          <w:szCs w:val="21"/>
        </w:rPr>
      </w:pPr>
      <w:r>
        <w:rPr>
          <w:rFonts w:hint="eastAsia" w:ascii="宋体" w:hAnsi="宋体"/>
          <w:b w:val="0"/>
          <w:kern w:val="0"/>
          <w:sz w:val="21"/>
          <w:szCs w:val="21"/>
        </w:rPr>
        <w:t>根据本章第11.1项的规定对公开招标文件所做的澄清、修改，构成招标文件的组成部分。当公开招标文件与招标文件的澄清和修改就同一内容的表述不一致时，以最后澄清或修改公告为准</w:t>
      </w:r>
    </w:p>
    <w:p w14:paraId="63CD0D5D">
      <w:pPr>
        <w:pStyle w:val="2"/>
      </w:pPr>
    </w:p>
    <w:p w14:paraId="5ED409DF">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11.招标文件的澄清、修改 、现场考察和答疑会</w:t>
      </w:r>
    </w:p>
    <w:p w14:paraId="44F95B15">
      <w:pPr>
        <w:pStyle w:val="7"/>
        <w:keepNext w:val="0"/>
        <w:keepLines w:val="0"/>
        <w:spacing w:before="0" w:after="0" w:line="360" w:lineRule="auto"/>
        <w:ind w:firstLine="315" w:firstLineChars="150"/>
        <w:rPr>
          <w:rFonts w:ascii="宋体" w:hAnsi="宋体"/>
          <w:b w:val="0"/>
          <w:sz w:val="21"/>
          <w:szCs w:val="21"/>
        </w:rPr>
      </w:pPr>
      <w:r>
        <w:rPr>
          <w:rFonts w:hint="eastAsia" w:ascii="宋体" w:hAnsi="宋体"/>
          <w:b w:val="0"/>
          <w:sz w:val="21"/>
          <w:szCs w:val="21"/>
        </w:rPr>
        <w:t>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67E2385D">
      <w:pPr>
        <w:spacing w:line="360" w:lineRule="auto"/>
        <w:ind w:firstLine="420" w:firstLineChars="200"/>
      </w:pPr>
      <w:r>
        <w:rPr>
          <w:rFonts w:hint="eastAsia" w:ascii="宋体" w:hAnsi="宋体" w:cs="宋体"/>
          <w:szCs w:val="21"/>
        </w:rPr>
        <w:t>11.2投标人应认真审阅本公开招标文件，如有疑问，或发现其中有误或有要求不合理的，应在投标人须知前附表规定的</w:t>
      </w:r>
      <w:r>
        <w:rPr>
          <w:rFonts w:hint="eastAsia" w:ascii="宋体" w:hAnsi="宋体" w:cs="宋体"/>
          <w:kern w:val="0"/>
          <w:szCs w:val="21"/>
        </w:rPr>
        <w:t>投标截止时间</w:t>
      </w:r>
      <w:r>
        <w:rPr>
          <w:rFonts w:hint="eastAsia" w:ascii="宋体" w:hAnsi="宋体" w:cs="宋体"/>
          <w:szCs w:val="21"/>
        </w:rPr>
        <w:t>前以书面形式要求采购人或采购代理机构对招标文件予以澄清；否则，由此产生的后果由投标人自行负责。</w:t>
      </w:r>
    </w:p>
    <w:p w14:paraId="6DAB7AA6">
      <w:pPr>
        <w:pStyle w:val="15"/>
        <w:snapToGrid w:val="0"/>
        <w:spacing w:line="360" w:lineRule="auto"/>
        <w:ind w:firstLine="420" w:firstLineChars="200"/>
        <w:rPr>
          <w:rFonts w:hAnsi="宋体"/>
          <w:sz w:val="21"/>
        </w:rPr>
      </w:pPr>
      <w:r>
        <w:rPr>
          <w:rFonts w:hint="eastAsia" w:hAnsi="宋体"/>
          <w:sz w:val="21"/>
        </w:rPr>
        <w:t>11.3澄清或者修改的内容可能影响投标文件编制的，采购人或者采购代理机构应当在投标截止时间至少15日前，以书面形式通知</w:t>
      </w:r>
      <w:r>
        <w:rPr>
          <w:rFonts w:hint="eastAsia" w:hAnsi="宋体" w:cs="宋体"/>
          <w:sz w:val="21"/>
        </w:rPr>
        <w:t>(在“招标公告”规定信息发布媒体上发布更正公告)</w:t>
      </w:r>
      <w:r>
        <w:rPr>
          <w:rFonts w:hint="eastAsia" w:hAnsi="宋体"/>
          <w:sz w:val="21"/>
        </w:rPr>
        <w:t>所有获取招标文件的潜在投标人；不足15日的，采购人或者采购代理机构应当顺延提交投标文件的截止时间。</w:t>
      </w:r>
    </w:p>
    <w:p w14:paraId="40F0A4D8">
      <w:pPr>
        <w:pStyle w:val="15"/>
        <w:snapToGrid w:val="0"/>
        <w:spacing w:line="360" w:lineRule="auto"/>
        <w:ind w:firstLine="420" w:firstLineChars="200"/>
        <w:rPr>
          <w:rFonts w:hAnsi="宋体"/>
          <w:sz w:val="21"/>
        </w:rPr>
      </w:pPr>
      <w:r>
        <w:rPr>
          <w:rFonts w:hint="eastAsia" w:hAnsi="宋体"/>
          <w:sz w:val="21"/>
        </w:rPr>
        <w:t>1</w:t>
      </w:r>
      <w:r>
        <w:rPr>
          <w:rFonts w:hAnsi="宋体"/>
          <w:sz w:val="21"/>
        </w:rPr>
        <w:t>1.</w:t>
      </w:r>
      <w:bookmarkStart w:id="94" w:name="_Hlk53134511"/>
      <w:r>
        <w:rPr>
          <w:rFonts w:hint="eastAsia" w:hAnsi="宋体"/>
          <w:sz w:val="21"/>
        </w:rPr>
        <w:t>4采购人或者采购代理机构可以在招标文件提供期限截止后，组织已获取招标文件的潜在投标人现场考察或者召开开标前答疑会，具体详见“投标人须知前附表”。</w:t>
      </w:r>
    </w:p>
    <w:bookmarkEnd w:id="94"/>
    <w:p w14:paraId="1AF9A5FD">
      <w:pPr>
        <w:pStyle w:val="5"/>
        <w:keepNext w:val="0"/>
        <w:keepLines w:val="0"/>
        <w:jc w:val="center"/>
      </w:pPr>
      <w:bookmarkStart w:id="95" w:name="_Toc254970535"/>
      <w:bookmarkStart w:id="96" w:name="_Toc254970676"/>
      <w:r>
        <w:rPr>
          <w:rFonts w:hint="eastAsia"/>
        </w:rPr>
        <w:t>三、投标文件的编制</w:t>
      </w:r>
      <w:bookmarkEnd w:id="95"/>
      <w:bookmarkEnd w:id="96"/>
    </w:p>
    <w:p w14:paraId="6C8E5CE5">
      <w:pPr>
        <w:pStyle w:val="7"/>
        <w:keepNext w:val="0"/>
        <w:keepLines w:val="0"/>
        <w:spacing w:before="0" w:after="0" w:line="360" w:lineRule="auto"/>
        <w:ind w:left="420" w:leftChars="200"/>
        <w:rPr>
          <w:rFonts w:ascii="黑体" w:hAnsi="黑体" w:eastAsia="黑体"/>
          <w:sz w:val="24"/>
        </w:rPr>
      </w:pPr>
      <w:bookmarkStart w:id="97" w:name="_Toc254970536"/>
      <w:bookmarkStart w:id="98" w:name="_Toc254970677"/>
      <w:r>
        <w:rPr>
          <w:rFonts w:hint="eastAsia" w:ascii="黑体" w:hAnsi="黑体" w:eastAsia="黑体"/>
          <w:sz w:val="24"/>
        </w:rPr>
        <w:t>12.投标文件的编制原则</w:t>
      </w:r>
    </w:p>
    <w:p w14:paraId="6B172D42">
      <w:pPr>
        <w:snapToGrid w:val="0"/>
        <w:spacing w:line="360" w:lineRule="auto"/>
        <w:ind w:firstLine="420"/>
        <w:jc w:val="left"/>
        <w:rPr>
          <w:rFonts w:ascii="宋体" w:hAnsi="宋体" w:cs="Courier New"/>
          <w:szCs w:val="21"/>
        </w:rPr>
      </w:pPr>
      <w:r>
        <w:rPr>
          <w:rFonts w:ascii="宋体" w:hAnsi="宋体"/>
          <w:szCs w:val="21"/>
        </w:rPr>
        <w:t>投标人必须按照招标文件的要求编制投标文件。投标文件必须对招标文件提出的要求和条件作出明确响应。</w:t>
      </w:r>
    </w:p>
    <w:p w14:paraId="0A7CB13F">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13.投标文件的组成</w:t>
      </w:r>
      <w:bookmarkEnd w:id="97"/>
      <w:bookmarkEnd w:id="98"/>
    </w:p>
    <w:p w14:paraId="4322FCD7">
      <w:pPr>
        <w:snapToGrid w:val="0"/>
        <w:spacing w:line="360" w:lineRule="auto"/>
        <w:ind w:firstLine="420" w:firstLineChars="200"/>
        <w:jc w:val="left"/>
        <w:rPr>
          <w:rFonts w:ascii="宋体" w:hAnsi="宋体"/>
          <w:szCs w:val="21"/>
        </w:rPr>
      </w:pPr>
      <w:r>
        <w:rPr>
          <w:rFonts w:hint="eastAsia" w:ascii="宋体" w:hAnsi="宋体"/>
          <w:szCs w:val="21"/>
        </w:rPr>
        <w:t>1</w:t>
      </w:r>
      <w:r>
        <w:rPr>
          <w:rFonts w:ascii="宋体" w:hAnsi="宋体"/>
          <w:szCs w:val="21"/>
        </w:rPr>
        <w:t>3.1</w:t>
      </w:r>
      <w:r>
        <w:rPr>
          <w:rFonts w:hint="eastAsia" w:ascii="宋体" w:hAnsi="宋体"/>
          <w:szCs w:val="21"/>
        </w:rPr>
        <w:t>投标文件由报价文件、资格证明文件、商务文件、技术文件四部分组成。</w:t>
      </w:r>
    </w:p>
    <w:p w14:paraId="36E81EEE">
      <w:pPr>
        <w:pStyle w:val="7"/>
        <w:keepNext w:val="0"/>
        <w:keepLines w:val="0"/>
        <w:spacing w:before="0" w:after="0" w:line="360" w:lineRule="auto"/>
        <w:ind w:left="420" w:leftChars="200"/>
        <w:rPr>
          <w:rFonts w:ascii="宋体" w:hAnsi="宋体"/>
          <w:b w:val="0"/>
          <w:sz w:val="21"/>
          <w:szCs w:val="21"/>
        </w:rPr>
      </w:pPr>
      <w:bookmarkStart w:id="99" w:name="_13.1报价文件:_具体材料见“投标人须知前附表”。"/>
      <w:bookmarkEnd w:id="99"/>
      <w:r>
        <w:rPr>
          <w:rFonts w:hint="eastAsia" w:ascii="宋体" w:hAnsi="宋体"/>
          <w:b w:val="0"/>
          <w:sz w:val="21"/>
          <w:szCs w:val="21"/>
        </w:rPr>
        <w:t>（1）报价文件：</w:t>
      </w:r>
      <w:r>
        <w:rPr>
          <w:rFonts w:ascii="宋体" w:hAnsi="宋体"/>
          <w:b w:val="0"/>
          <w:sz w:val="21"/>
          <w:szCs w:val="21"/>
        </w:rPr>
        <w:t>具体材料见“投标人须知前附表”</w:t>
      </w:r>
      <w:r>
        <w:rPr>
          <w:rFonts w:hint="eastAsia" w:ascii="宋体" w:hAnsi="宋体"/>
          <w:b w:val="0"/>
          <w:sz w:val="21"/>
          <w:szCs w:val="21"/>
        </w:rPr>
        <w:t>。</w:t>
      </w:r>
    </w:p>
    <w:p w14:paraId="70A8649D">
      <w:pPr>
        <w:pStyle w:val="7"/>
        <w:keepNext w:val="0"/>
        <w:keepLines w:val="0"/>
        <w:spacing w:before="0" w:after="0" w:line="360" w:lineRule="auto"/>
        <w:ind w:left="420" w:leftChars="200"/>
        <w:rPr>
          <w:rFonts w:ascii="宋体" w:hAnsi="宋体"/>
          <w:b w:val="0"/>
          <w:sz w:val="21"/>
          <w:szCs w:val="21"/>
        </w:rPr>
      </w:pPr>
      <w:bookmarkStart w:id="100" w:name="_13.2资格证明文件：具体材料见“投标人须知前附表”。"/>
      <w:bookmarkEnd w:id="100"/>
      <w:r>
        <w:rPr>
          <w:rFonts w:hint="eastAsia" w:ascii="宋体" w:hAnsi="宋体"/>
          <w:b w:val="0"/>
          <w:sz w:val="21"/>
          <w:szCs w:val="21"/>
        </w:rPr>
        <w:t>（</w:t>
      </w:r>
      <w:r>
        <w:rPr>
          <w:rFonts w:ascii="宋体" w:hAnsi="宋体"/>
          <w:b w:val="0"/>
          <w:sz w:val="21"/>
          <w:szCs w:val="21"/>
        </w:rPr>
        <w:t>2</w:t>
      </w:r>
      <w:r>
        <w:rPr>
          <w:rFonts w:hint="eastAsia" w:ascii="宋体" w:hAnsi="宋体"/>
          <w:b w:val="0"/>
          <w:sz w:val="21"/>
          <w:szCs w:val="21"/>
        </w:rPr>
        <w:t>）资格证明文件：</w:t>
      </w:r>
      <w:r>
        <w:rPr>
          <w:rFonts w:ascii="宋体" w:hAnsi="宋体"/>
          <w:b w:val="0"/>
          <w:sz w:val="21"/>
          <w:szCs w:val="21"/>
        </w:rPr>
        <w:t>具体材料见“投标人须知前附表”</w:t>
      </w:r>
      <w:r>
        <w:rPr>
          <w:rFonts w:hint="eastAsia" w:ascii="宋体" w:hAnsi="宋体"/>
          <w:b w:val="0"/>
          <w:sz w:val="21"/>
          <w:szCs w:val="21"/>
        </w:rPr>
        <w:t>。</w:t>
      </w:r>
    </w:p>
    <w:p w14:paraId="6BF2A570">
      <w:pPr>
        <w:pStyle w:val="7"/>
        <w:keepNext w:val="0"/>
        <w:keepLines w:val="0"/>
        <w:spacing w:before="0" w:after="0" w:line="360" w:lineRule="auto"/>
        <w:ind w:left="420" w:leftChars="200"/>
        <w:rPr>
          <w:rFonts w:ascii="宋体" w:hAnsi="宋体"/>
          <w:b w:val="0"/>
          <w:sz w:val="21"/>
          <w:szCs w:val="21"/>
        </w:rPr>
      </w:pPr>
      <w:bookmarkStart w:id="101" w:name="_13.3商务文件:_具体材料见“投标人须知前附表”。"/>
      <w:bookmarkEnd w:id="101"/>
      <w:r>
        <w:rPr>
          <w:rFonts w:hint="eastAsia" w:ascii="宋体" w:hAnsi="宋体"/>
          <w:b w:val="0"/>
          <w:sz w:val="21"/>
          <w:szCs w:val="21"/>
        </w:rPr>
        <w:t>（</w:t>
      </w:r>
      <w:r>
        <w:rPr>
          <w:rFonts w:ascii="宋体" w:hAnsi="宋体"/>
          <w:b w:val="0"/>
          <w:sz w:val="21"/>
          <w:szCs w:val="21"/>
        </w:rPr>
        <w:t>3</w:t>
      </w:r>
      <w:r>
        <w:rPr>
          <w:rFonts w:hint="eastAsia" w:ascii="宋体" w:hAnsi="宋体"/>
          <w:b w:val="0"/>
          <w:sz w:val="21"/>
          <w:szCs w:val="21"/>
        </w:rPr>
        <w:t>）商务文件：</w:t>
      </w:r>
      <w:r>
        <w:rPr>
          <w:rFonts w:ascii="宋体" w:hAnsi="宋体"/>
          <w:b w:val="0"/>
          <w:sz w:val="21"/>
          <w:szCs w:val="21"/>
        </w:rPr>
        <w:t>具体材料见“投标人须知前附表”</w:t>
      </w:r>
      <w:r>
        <w:rPr>
          <w:rFonts w:hint="eastAsia" w:ascii="宋体" w:hAnsi="宋体"/>
          <w:b w:val="0"/>
          <w:sz w:val="21"/>
          <w:szCs w:val="21"/>
        </w:rPr>
        <w:t>。</w:t>
      </w:r>
    </w:p>
    <w:p w14:paraId="21EF6190">
      <w:pPr>
        <w:pStyle w:val="7"/>
        <w:keepNext w:val="0"/>
        <w:keepLines w:val="0"/>
        <w:spacing w:before="0" w:after="0" w:line="360" w:lineRule="auto"/>
        <w:ind w:left="420" w:leftChars="200"/>
        <w:rPr>
          <w:rFonts w:ascii="宋体" w:hAnsi="宋体"/>
          <w:b w:val="0"/>
          <w:sz w:val="21"/>
          <w:szCs w:val="21"/>
        </w:rPr>
      </w:pPr>
      <w:bookmarkStart w:id="102" w:name="_13.4技术文件：具体材料见“投标人须知前附表”。"/>
      <w:bookmarkEnd w:id="102"/>
      <w:r>
        <w:rPr>
          <w:rFonts w:hint="eastAsia" w:ascii="宋体" w:hAnsi="宋体"/>
          <w:b w:val="0"/>
          <w:sz w:val="21"/>
          <w:szCs w:val="21"/>
        </w:rPr>
        <w:t>（</w:t>
      </w:r>
      <w:r>
        <w:rPr>
          <w:rFonts w:ascii="宋体" w:hAnsi="宋体"/>
          <w:b w:val="0"/>
          <w:sz w:val="21"/>
          <w:szCs w:val="21"/>
        </w:rPr>
        <w:t>4</w:t>
      </w:r>
      <w:r>
        <w:rPr>
          <w:rFonts w:hint="eastAsia" w:ascii="宋体" w:hAnsi="宋体"/>
          <w:b w:val="0"/>
          <w:sz w:val="21"/>
          <w:szCs w:val="21"/>
        </w:rPr>
        <w:t>）技术文件：</w:t>
      </w:r>
      <w:r>
        <w:rPr>
          <w:rFonts w:ascii="宋体" w:hAnsi="宋体"/>
          <w:b w:val="0"/>
          <w:sz w:val="21"/>
          <w:szCs w:val="21"/>
        </w:rPr>
        <w:t>具体材料见“投标人须知前附表”</w:t>
      </w:r>
      <w:r>
        <w:rPr>
          <w:rFonts w:hint="eastAsia" w:ascii="宋体" w:hAnsi="宋体"/>
          <w:b w:val="0"/>
          <w:sz w:val="21"/>
          <w:szCs w:val="21"/>
        </w:rPr>
        <w:t>。</w:t>
      </w:r>
    </w:p>
    <w:p w14:paraId="660DC7FF">
      <w:pPr>
        <w:pStyle w:val="7"/>
        <w:keepNext w:val="0"/>
        <w:keepLines w:val="0"/>
        <w:spacing w:before="0" w:after="0" w:line="360" w:lineRule="auto"/>
        <w:ind w:left="420" w:leftChars="200"/>
        <w:rPr>
          <w:rFonts w:ascii="宋体" w:hAnsi="宋体"/>
          <w:b w:val="0"/>
          <w:sz w:val="21"/>
          <w:szCs w:val="21"/>
        </w:rPr>
      </w:pPr>
      <w:bookmarkStart w:id="103" w:name="_13.5投标文件电子版：具体材料见“投标人须知前附表”。"/>
      <w:bookmarkEnd w:id="103"/>
      <w:r>
        <w:rPr>
          <w:rFonts w:hint="eastAsia" w:ascii="宋体" w:hAnsi="宋体"/>
          <w:b w:val="0"/>
          <w:sz w:val="21"/>
          <w:szCs w:val="21"/>
        </w:rPr>
        <w:t>13.</w:t>
      </w:r>
      <w:r>
        <w:rPr>
          <w:rFonts w:ascii="宋体" w:hAnsi="宋体"/>
          <w:b w:val="0"/>
          <w:sz w:val="21"/>
          <w:szCs w:val="21"/>
        </w:rPr>
        <w:t>2</w:t>
      </w:r>
      <w:r>
        <w:rPr>
          <w:rFonts w:hint="eastAsia" w:ascii="宋体" w:hAnsi="宋体"/>
          <w:b w:val="0"/>
          <w:sz w:val="21"/>
          <w:szCs w:val="21"/>
        </w:rPr>
        <w:t>投标文件电子版：具体要求见本节19.投标文件编制。</w:t>
      </w:r>
    </w:p>
    <w:p w14:paraId="52199BE0">
      <w:pPr>
        <w:pStyle w:val="7"/>
        <w:keepNext w:val="0"/>
        <w:keepLines w:val="0"/>
        <w:spacing w:before="0" w:after="0" w:line="360" w:lineRule="auto"/>
        <w:ind w:left="420" w:leftChars="200"/>
        <w:rPr>
          <w:rFonts w:ascii="黑体" w:hAnsi="黑体" w:eastAsia="黑体"/>
          <w:sz w:val="24"/>
        </w:rPr>
      </w:pPr>
      <w:bookmarkStart w:id="104" w:name="_Toc254970678"/>
      <w:bookmarkStart w:id="105" w:name="_Toc254970537"/>
      <w:r>
        <w:rPr>
          <w:rFonts w:hint="eastAsia" w:ascii="黑体" w:hAnsi="黑体" w:eastAsia="黑体"/>
          <w:sz w:val="24"/>
        </w:rPr>
        <w:t>14.投标文件的语言及计量</w:t>
      </w:r>
      <w:bookmarkEnd w:id="104"/>
      <w:bookmarkEnd w:id="105"/>
    </w:p>
    <w:p w14:paraId="5CCB5066">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14.1语言文字</w:t>
      </w:r>
    </w:p>
    <w:p w14:paraId="4A92C1A3">
      <w:pPr>
        <w:pStyle w:val="7"/>
        <w:keepNext w:val="0"/>
        <w:keepLines w:val="0"/>
        <w:spacing w:before="0" w:after="0" w:line="360" w:lineRule="auto"/>
        <w:ind w:firstLine="420" w:firstLineChars="200"/>
        <w:rPr>
          <w:rFonts w:ascii="宋体" w:hAnsi="宋体"/>
          <w:b w:val="0"/>
          <w:sz w:val="21"/>
          <w:szCs w:val="21"/>
        </w:rPr>
      </w:pPr>
      <w:r>
        <w:rPr>
          <w:rFonts w:hint="eastAsia" w:ascii="宋体" w:hAnsi="宋体"/>
          <w:b w:val="0"/>
          <w:sz w:val="21"/>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5442CDF4">
      <w:pPr>
        <w:pStyle w:val="7"/>
        <w:keepNext w:val="0"/>
        <w:keepLines w:val="0"/>
        <w:spacing w:before="0" w:after="0" w:line="360" w:lineRule="auto"/>
        <w:ind w:firstLine="420" w:firstLineChars="200"/>
        <w:rPr>
          <w:rFonts w:ascii="宋体" w:hAnsi="宋体"/>
          <w:b w:val="0"/>
          <w:sz w:val="21"/>
          <w:szCs w:val="21"/>
        </w:rPr>
      </w:pPr>
      <w:r>
        <w:rPr>
          <w:rFonts w:hint="eastAsia" w:ascii="宋体" w:hAnsi="宋体"/>
          <w:b w:val="0"/>
          <w:sz w:val="21"/>
          <w:szCs w:val="21"/>
        </w:rPr>
        <w:t>14.2投标计量单位</w:t>
      </w:r>
    </w:p>
    <w:p w14:paraId="0C20CDC2">
      <w:pPr>
        <w:pStyle w:val="7"/>
        <w:keepNext w:val="0"/>
        <w:keepLines w:val="0"/>
        <w:spacing w:before="0" w:after="0" w:line="360" w:lineRule="auto"/>
        <w:ind w:firstLine="420" w:firstLineChars="200"/>
        <w:rPr>
          <w:rFonts w:ascii="宋体" w:hAnsi="宋体"/>
          <w:b w:val="0"/>
          <w:sz w:val="21"/>
          <w:szCs w:val="21"/>
        </w:rPr>
      </w:pPr>
      <w:r>
        <w:rPr>
          <w:rFonts w:hint="eastAsia" w:ascii="宋体" w:hAnsi="宋体"/>
          <w:b w:val="0"/>
          <w:sz w:val="21"/>
          <w:szCs w:val="21"/>
        </w:rPr>
        <w:t>招标文件已有明确规定的，使用招标文件规定的计量单位；招标文件没有规定的，应采用中华人民共和国法定计量单位，货币种类为人民币，否则视同未响应。</w:t>
      </w:r>
    </w:p>
    <w:p w14:paraId="0696FAAF">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15.投标文件提交的风险</w:t>
      </w:r>
    </w:p>
    <w:p w14:paraId="33C1C49F">
      <w:pPr>
        <w:pStyle w:val="15"/>
        <w:snapToGrid w:val="0"/>
        <w:spacing w:line="360" w:lineRule="auto"/>
        <w:ind w:firstLine="420" w:firstLineChars="200"/>
        <w:jc w:val="left"/>
        <w:rPr>
          <w:rFonts w:hAnsi="宋体"/>
          <w:sz w:val="21"/>
        </w:rPr>
      </w:pPr>
      <w:r>
        <w:rPr>
          <w:rFonts w:hint="eastAsia" w:hAnsi="宋体"/>
          <w:sz w:val="21"/>
        </w:rPr>
        <w:t>投标文件分为资格文件、商务文件、技术文件、报价文件四部分（其中：商务文件与技术文件合并编辑成一个电子文档）。各投标人在编制投标文件时请按照招标文件规定的编排格式进行，不按要求提交齐全的文件、混乱的编排导致投标文件被误读或评标委员会查找不到有效文件是造成投标人投标文件无效的风险。</w:t>
      </w:r>
      <w:r>
        <w:rPr>
          <w:rFonts w:hint="eastAsia" w:hAnsi="宋体"/>
          <w:b/>
          <w:bCs/>
          <w:sz w:val="21"/>
        </w:rPr>
        <w:t>投标文件内容不齐全、未按规定的文件格式编制的、没有对招标文件作出实质性响应，投标无效</w:t>
      </w:r>
      <w:r>
        <w:rPr>
          <w:rFonts w:hint="eastAsia" w:hAnsi="宋体"/>
          <w:sz w:val="21"/>
        </w:rPr>
        <w:t>。</w:t>
      </w:r>
    </w:p>
    <w:p w14:paraId="1A3D5169">
      <w:pPr>
        <w:pStyle w:val="7"/>
        <w:keepNext w:val="0"/>
        <w:keepLines w:val="0"/>
        <w:spacing w:before="0" w:after="0" w:line="360" w:lineRule="auto"/>
        <w:ind w:left="420" w:leftChars="200"/>
        <w:rPr>
          <w:rFonts w:ascii="黑体" w:hAnsi="黑体" w:eastAsia="黑体"/>
          <w:sz w:val="24"/>
        </w:rPr>
      </w:pPr>
      <w:bookmarkStart w:id="106" w:name="_Toc254970538"/>
      <w:bookmarkStart w:id="107" w:name="_Toc254970679"/>
      <w:r>
        <w:rPr>
          <w:rFonts w:hint="eastAsia" w:ascii="黑体" w:hAnsi="黑体" w:eastAsia="黑体"/>
          <w:sz w:val="24"/>
        </w:rPr>
        <w:t>16.投标报价</w:t>
      </w:r>
      <w:bookmarkEnd w:id="106"/>
      <w:bookmarkEnd w:id="107"/>
    </w:p>
    <w:p w14:paraId="791F9389">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16.1投标报价应按“第六章　投标文件格式”中“开标一览表”格式填写。</w:t>
      </w:r>
    </w:p>
    <w:p w14:paraId="039C2A38">
      <w:pPr>
        <w:pStyle w:val="7"/>
        <w:keepNext w:val="0"/>
        <w:keepLines w:val="0"/>
        <w:spacing w:before="0" w:after="0" w:line="360" w:lineRule="auto"/>
        <w:ind w:left="420" w:leftChars="200"/>
        <w:rPr>
          <w:rFonts w:ascii="宋体" w:hAnsi="宋体"/>
          <w:b w:val="0"/>
          <w:sz w:val="21"/>
          <w:szCs w:val="21"/>
        </w:rPr>
      </w:pPr>
      <w:bookmarkStart w:id="108" w:name="_16.2投标报价具体定义见投标人须知前附表。"/>
      <w:bookmarkEnd w:id="108"/>
      <w:r>
        <w:rPr>
          <w:rFonts w:hint="eastAsia" w:ascii="宋体" w:hAnsi="宋体"/>
          <w:b w:val="0"/>
          <w:sz w:val="21"/>
          <w:szCs w:val="21"/>
        </w:rPr>
        <w:t>16.2投标报价具体包括内容详见“投标人须知前附表”。</w:t>
      </w:r>
    </w:p>
    <w:p w14:paraId="30654BA4">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sz w:val="21"/>
          <w:szCs w:val="21"/>
        </w:rPr>
        <w:t>16.3投标人必须就所投项目（或每个分标，如有）的全部内容分别作完整唯一总价报价，不得存在漏项报价；投标人必须就所投项目（或分标）的单项内容作唯一报价。</w:t>
      </w:r>
    </w:p>
    <w:p w14:paraId="6FE7EE3B">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bCs/>
          <w:sz w:val="21"/>
          <w:szCs w:val="21"/>
        </w:rPr>
        <w:t>16.4预算金额（人民币）：</w:t>
      </w:r>
      <w:r>
        <w:rPr>
          <w:rFonts w:hint="eastAsia" w:ascii="宋体" w:hAnsi="宋体"/>
          <w:b w:val="0"/>
          <w:sz w:val="21"/>
          <w:szCs w:val="21"/>
        </w:rPr>
        <w:t>详见“招标公告”</w:t>
      </w:r>
      <w:r>
        <w:rPr>
          <w:rFonts w:hint="eastAsia" w:ascii="宋体" w:hAnsi="宋体"/>
          <w:b w:val="0"/>
          <w:bCs/>
          <w:sz w:val="21"/>
          <w:szCs w:val="21"/>
        </w:rPr>
        <w:t>，投标报价超过采购预算金额的，投标文件按无效处理。</w:t>
      </w:r>
    </w:p>
    <w:p w14:paraId="4C9654FA">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17.投标有效期</w:t>
      </w:r>
    </w:p>
    <w:p w14:paraId="09498D6D">
      <w:pPr>
        <w:pStyle w:val="7"/>
        <w:keepNext w:val="0"/>
        <w:keepLines w:val="0"/>
        <w:spacing w:before="0" w:after="0" w:line="360" w:lineRule="auto"/>
        <w:ind w:firstLine="420" w:firstLineChars="200"/>
        <w:rPr>
          <w:rFonts w:ascii="宋体" w:hAnsi="宋体"/>
          <w:b w:val="0"/>
          <w:bCs/>
          <w:sz w:val="21"/>
          <w:szCs w:val="21"/>
        </w:rPr>
      </w:pPr>
      <w:bookmarkStart w:id="109" w:name="_17.1投标有效期应按“投标人须知中的前附表”规定的期限。"/>
      <w:bookmarkEnd w:id="109"/>
      <w:r>
        <w:rPr>
          <w:rFonts w:hint="eastAsia" w:ascii="宋体" w:hAnsi="宋体"/>
          <w:b w:val="0"/>
          <w:bCs/>
          <w:sz w:val="21"/>
          <w:szCs w:val="21"/>
        </w:rPr>
        <w:t>17.1投标有效期是指为保证采购人有足够的时间在开标后完成评标、定标、合同签订等工作而要求投标人提交的投标文件在一定时间内保持有效的期限。</w:t>
      </w:r>
    </w:p>
    <w:p w14:paraId="2077A411">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17.2</w:t>
      </w:r>
      <w:bookmarkStart w:id="110" w:name="_Toc254970681"/>
      <w:bookmarkStart w:id="111" w:name="_Toc254970540"/>
      <w:r>
        <w:rPr>
          <w:rFonts w:hint="eastAsia" w:ascii="宋体" w:hAnsi="宋体"/>
          <w:b w:val="0"/>
          <w:sz w:val="21"/>
          <w:szCs w:val="21"/>
        </w:rPr>
        <w:t xml:space="preserve"> 投标有效期应按规定的期限作出承诺，具体详见“投标人须知前附表”。</w:t>
      </w:r>
    </w:p>
    <w:p w14:paraId="62B9A6B0">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17.3投标人的投标文件在投标有效期内均保持有效。</w:t>
      </w:r>
      <w:bookmarkEnd w:id="110"/>
      <w:bookmarkEnd w:id="111"/>
    </w:p>
    <w:p w14:paraId="5539DF6D">
      <w:pPr>
        <w:pStyle w:val="7"/>
        <w:keepNext w:val="0"/>
        <w:keepLines w:val="0"/>
        <w:spacing w:before="0" w:after="0" w:line="360" w:lineRule="auto"/>
        <w:ind w:left="420" w:leftChars="200"/>
        <w:rPr>
          <w:rFonts w:ascii="黑体" w:hAnsi="黑体" w:eastAsia="黑体"/>
          <w:sz w:val="24"/>
        </w:rPr>
      </w:pPr>
      <w:bookmarkStart w:id="112" w:name="_18.投标保证金"/>
      <w:bookmarkEnd w:id="112"/>
      <w:bookmarkStart w:id="113" w:name="_Toc254970682"/>
      <w:bookmarkStart w:id="114" w:name="_Toc254970541"/>
      <w:r>
        <w:rPr>
          <w:rFonts w:hint="eastAsia" w:ascii="黑体" w:hAnsi="黑体" w:eastAsia="黑体"/>
          <w:sz w:val="24"/>
        </w:rPr>
        <w:t>18.投标保证金</w:t>
      </w:r>
      <w:bookmarkEnd w:id="113"/>
      <w:bookmarkEnd w:id="114"/>
    </w:p>
    <w:p w14:paraId="6924B581">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18.1投标人须按“投标人须知前附表” 的规定提交投标保证金。</w:t>
      </w:r>
    </w:p>
    <w:p w14:paraId="2CAC84AA">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18.2投标保证金的退还</w:t>
      </w:r>
    </w:p>
    <w:p w14:paraId="184965EC">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18.2.1未中标人的投标保证金自中标通知书发出之日起5个工作日内退还，退还方式如下：</w:t>
      </w:r>
    </w:p>
    <w:p w14:paraId="10EF3BBC">
      <w:pPr>
        <w:pStyle w:val="7"/>
        <w:keepNext w:val="0"/>
        <w:keepLines w:val="0"/>
        <w:spacing w:before="0" w:after="0" w:line="360" w:lineRule="auto"/>
        <w:ind w:firstLine="315" w:firstLineChars="150"/>
        <w:rPr>
          <w:rFonts w:ascii="宋体" w:hAnsi="宋体"/>
          <w:b w:val="0"/>
          <w:sz w:val="21"/>
          <w:szCs w:val="21"/>
        </w:rPr>
      </w:pPr>
      <w:r>
        <w:rPr>
          <w:rFonts w:hint="eastAsia" w:ascii="宋体" w:hAnsi="宋体"/>
          <w:b w:val="0"/>
          <w:sz w:val="21"/>
          <w:szCs w:val="21"/>
        </w:rPr>
        <w:t>（1）采用银行转账方式的，以转账方式退回到投标人银行账户。</w:t>
      </w:r>
    </w:p>
    <w:p w14:paraId="46A5AC53">
      <w:pPr>
        <w:pStyle w:val="2"/>
        <w:spacing w:line="360" w:lineRule="auto"/>
        <w:ind w:firstLine="315" w:firstLineChars="150"/>
        <w:rPr>
          <w:rFonts w:ascii="宋体" w:hAnsi="宋体"/>
          <w:szCs w:val="21"/>
        </w:rPr>
      </w:pPr>
      <w:r>
        <w:rPr>
          <w:rFonts w:hint="eastAsia" w:ascii="宋体" w:hAnsi="宋体"/>
          <w:szCs w:val="21"/>
        </w:rPr>
        <w:t xml:space="preserve">（2）采用支票、汇票、本票或者金融、担保机构出具的保函方式的，由投标人代表持相关授权证明材料至采购人或者采购代理机构办理支票、汇票、本票或者金融、担保机构出具的保函原件退还手续。 </w:t>
      </w:r>
    </w:p>
    <w:p w14:paraId="13EA2652">
      <w:pPr>
        <w:pStyle w:val="7"/>
        <w:keepNext w:val="0"/>
        <w:keepLines w:val="0"/>
        <w:numPr>
          <w:ilvl w:val="0"/>
          <w:numId w:val="0"/>
        </w:numPr>
        <w:spacing w:before="0" w:after="0" w:line="360" w:lineRule="auto"/>
        <w:ind w:firstLine="420" w:firstLineChars="200"/>
        <w:rPr>
          <w:rFonts w:ascii="宋体" w:hAnsi="宋体"/>
          <w:b w:val="0"/>
          <w:sz w:val="21"/>
          <w:szCs w:val="21"/>
        </w:rPr>
      </w:pPr>
      <w:r>
        <w:rPr>
          <w:rFonts w:hint="eastAsia" w:ascii="宋体" w:hAnsi="宋体"/>
          <w:b w:val="0"/>
          <w:sz w:val="21"/>
          <w:szCs w:val="21"/>
        </w:rPr>
        <w:t>18.2.2中标人的投标保证金自采购合同签订之日起5个工作日内退还，退还方式同本须知正文第1</w:t>
      </w:r>
      <w:r>
        <w:rPr>
          <w:rFonts w:ascii="宋体" w:hAnsi="宋体"/>
          <w:b w:val="0"/>
          <w:sz w:val="21"/>
          <w:szCs w:val="21"/>
        </w:rPr>
        <w:t>8.2.1</w:t>
      </w:r>
      <w:r>
        <w:rPr>
          <w:rFonts w:hint="eastAsia" w:ascii="宋体" w:hAnsi="宋体"/>
          <w:b w:val="0"/>
          <w:sz w:val="21"/>
          <w:szCs w:val="21"/>
        </w:rPr>
        <w:t xml:space="preserve">。 </w:t>
      </w:r>
    </w:p>
    <w:p w14:paraId="7D55E7E4">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18.3除逾期退还投标保证金和终止招标的情形以外，投标保证金不计息。</w:t>
      </w:r>
    </w:p>
    <w:p w14:paraId="3A4A446D">
      <w:pPr>
        <w:pStyle w:val="7"/>
        <w:keepNext w:val="0"/>
        <w:keepLines w:val="0"/>
        <w:spacing w:before="0" w:after="0" w:line="360" w:lineRule="auto"/>
        <w:ind w:left="420" w:leftChars="200"/>
        <w:rPr>
          <w:rFonts w:ascii="宋体" w:hAnsi="宋体"/>
          <w:bCs/>
          <w:sz w:val="21"/>
          <w:szCs w:val="21"/>
        </w:rPr>
      </w:pPr>
      <w:r>
        <w:rPr>
          <w:rFonts w:hint="eastAsia" w:ascii="宋体" w:hAnsi="宋体"/>
          <w:bCs/>
          <w:sz w:val="21"/>
          <w:szCs w:val="21"/>
        </w:rPr>
        <w:t xml:space="preserve">18.4投标人有下列情形之一的，投标保证金将不予退还： </w:t>
      </w:r>
    </w:p>
    <w:p w14:paraId="5ABF60BF">
      <w:pPr>
        <w:snapToGrid w:val="0"/>
        <w:spacing w:line="360" w:lineRule="auto"/>
        <w:ind w:firstLine="411" w:firstLineChars="196"/>
        <w:jc w:val="left"/>
        <w:rPr>
          <w:rFonts w:ascii="宋体" w:hAnsi="宋体"/>
          <w:szCs w:val="21"/>
        </w:rPr>
      </w:pPr>
      <w:r>
        <w:rPr>
          <w:rFonts w:hint="eastAsia" w:ascii="宋体" w:hAnsi="宋体"/>
          <w:szCs w:val="21"/>
        </w:rPr>
        <w:t>（1）投标人在投标有效期内撤销投标文件的；</w:t>
      </w:r>
    </w:p>
    <w:p w14:paraId="3C49E40A">
      <w:pPr>
        <w:snapToGrid w:val="0"/>
        <w:spacing w:line="360" w:lineRule="auto"/>
        <w:ind w:firstLine="411" w:firstLineChars="196"/>
        <w:jc w:val="left"/>
        <w:rPr>
          <w:rFonts w:ascii="宋体" w:hAnsi="宋体"/>
          <w:szCs w:val="21"/>
        </w:rPr>
      </w:pPr>
      <w:r>
        <w:rPr>
          <w:rFonts w:hint="eastAsia" w:ascii="宋体" w:hAnsi="宋体"/>
          <w:szCs w:val="21"/>
        </w:rPr>
        <w:t>（2）未按规定提交履约保证金的；</w:t>
      </w:r>
    </w:p>
    <w:p w14:paraId="71958F31">
      <w:pPr>
        <w:snapToGrid w:val="0"/>
        <w:spacing w:line="360" w:lineRule="auto"/>
        <w:ind w:firstLine="411" w:firstLineChars="196"/>
        <w:jc w:val="left"/>
        <w:rPr>
          <w:rFonts w:ascii="宋体" w:hAnsi="宋体"/>
          <w:szCs w:val="21"/>
        </w:rPr>
      </w:pPr>
      <w:r>
        <w:rPr>
          <w:rFonts w:hint="eastAsia" w:ascii="宋体" w:hAnsi="宋体"/>
          <w:szCs w:val="21"/>
        </w:rPr>
        <w:t>（3）投标人在投标过程中弄虚作假，提供虚假材料的；</w:t>
      </w:r>
    </w:p>
    <w:p w14:paraId="6DBB5901">
      <w:pPr>
        <w:snapToGrid w:val="0"/>
        <w:spacing w:line="360" w:lineRule="auto"/>
        <w:ind w:firstLine="411" w:firstLineChars="196"/>
        <w:rPr>
          <w:rFonts w:ascii="宋体" w:hAnsi="宋体"/>
          <w:szCs w:val="21"/>
        </w:rPr>
      </w:pPr>
      <w:r>
        <w:rPr>
          <w:rFonts w:hint="eastAsia" w:ascii="宋体" w:hAnsi="宋体"/>
          <w:szCs w:val="21"/>
        </w:rPr>
        <w:t>（4）中标人无正当理由不与采购人签订合同的；</w:t>
      </w:r>
    </w:p>
    <w:p w14:paraId="57B780BA">
      <w:pPr>
        <w:snapToGrid w:val="0"/>
        <w:spacing w:line="360" w:lineRule="auto"/>
        <w:ind w:firstLine="420" w:firstLineChars="200"/>
        <w:rPr>
          <w:rFonts w:ascii="宋体" w:hAnsi="宋体"/>
          <w:szCs w:val="21"/>
        </w:rPr>
      </w:pPr>
      <w:r>
        <w:rPr>
          <w:rFonts w:hint="eastAsia" w:ascii="宋体" w:hAnsi="宋体"/>
          <w:szCs w:val="21"/>
        </w:rPr>
        <w:t>（5）投标人出现本章第9.2、9.3情形的；</w:t>
      </w:r>
    </w:p>
    <w:p w14:paraId="64BA2071">
      <w:pPr>
        <w:snapToGrid w:val="0"/>
        <w:spacing w:line="360" w:lineRule="auto"/>
        <w:ind w:firstLine="420" w:firstLineChars="200"/>
        <w:rPr>
          <w:rFonts w:ascii="宋体" w:hAnsi="宋体"/>
          <w:szCs w:val="21"/>
        </w:rPr>
      </w:pPr>
      <w:r>
        <w:rPr>
          <w:rFonts w:hint="eastAsia" w:ascii="宋体" w:hAnsi="宋体"/>
          <w:szCs w:val="21"/>
        </w:rPr>
        <w:t>（6）其他严重扰乱招投标程序的。</w:t>
      </w:r>
    </w:p>
    <w:p w14:paraId="1BE29D03">
      <w:pPr>
        <w:pStyle w:val="7"/>
        <w:keepNext w:val="0"/>
        <w:keepLines w:val="0"/>
        <w:spacing w:before="0" w:after="0" w:line="360" w:lineRule="auto"/>
        <w:ind w:left="420" w:leftChars="200"/>
        <w:rPr>
          <w:rFonts w:ascii="黑体" w:hAnsi="黑体" w:eastAsia="黑体"/>
          <w:sz w:val="24"/>
        </w:rPr>
      </w:pPr>
      <w:bookmarkStart w:id="115" w:name="_Toc254970683"/>
      <w:bookmarkStart w:id="116" w:name="_Toc254970542"/>
      <w:r>
        <w:rPr>
          <w:rFonts w:hint="eastAsia" w:ascii="黑体" w:hAnsi="黑体" w:eastAsia="黑体"/>
          <w:sz w:val="24"/>
        </w:rPr>
        <w:t>19.投标文件的</w:t>
      </w:r>
      <w:bookmarkEnd w:id="115"/>
      <w:bookmarkEnd w:id="116"/>
      <w:r>
        <w:rPr>
          <w:rFonts w:hint="eastAsia" w:ascii="黑体" w:hAnsi="黑体" w:eastAsia="黑体"/>
          <w:sz w:val="24"/>
        </w:rPr>
        <w:t>编制</w:t>
      </w:r>
    </w:p>
    <w:p w14:paraId="19CA2CA3">
      <w:pPr>
        <w:pStyle w:val="7"/>
        <w:keepNext w:val="0"/>
        <w:keepLines w:val="0"/>
        <w:numPr>
          <w:ilvl w:val="0"/>
          <w:numId w:val="0"/>
        </w:numPr>
        <w:spacing w:before="0" w:after="0" w:line="360" w:lineRule="auto"/>
        <w:ind w:firstLine="420" w:firstLineChars="200"/>
        <w:rPr>
          <w:rFonts w:ascii="宋体" w:hAnsi="宋体"/>
          <w:b w:val="0"/>
          <w:sz w:val="21"/>
          <w:szCs w:val="21"/>
        </w:rPr>
      </w:pPr>
      <w:r>
        <w:rPr>
          <w:rFonts w:hint="eastAsia" w:ascii="宋体" w:hAnsi="宋体"/>
          <w:b w:val="0"/>
          <w:sz w:val="21"/>
          <w:szCs w:val="21"/>
        </w:rPr>
        <w:t>19.1投标人需下载使用新版客户端，新版客户端下载路径：广西政府采购网（访问地址http</w:t>
      </w:r>
      <w:r>
        <w:rPr>
          <w:rFonts w:ascii="宋体" w:hAnsi="宋体"/>
          <w:b w:val="0"/>
          <w:sz w:val="21"/>
          <w:szCs w:val="21"/>
        </w:rPr>
        <w:t>：</w:t>
      </w:r>
      <w:r>
        <w:rPr>
          <w:rFonts w:hint="eastAsia" w:ascii="宋体" w:hAnsi="宋体"/>
          <w:b w:val="0"/>
          <w:sz w:val="21"/>
          <w:szCs w:val="21"/>
        </w:rPr>
        <w:t>//zfcg.gxzf.gov.cn/）—办事服务—下载专区，并按照本项目招标文件规定的格式和顺序和</w:t>
      </w:r>
      <w:r>
        <w:rPr>
          <w:rFonts w:hint="eastAsia" w:ascii="宋体" w:hAnsi="宋体"/>
          <w:b w:val="0"/>
          <w:bCs/>
          <w:sz w:val="21"/>
          <w:szCs w:val="21"/>
        </w:rPr>
        <w:t>广西政府采购云平台</w:t>
      </w:r>
      <w:r>
        <w:rPr>
          <w:rFonts w:hint="eastAsia" w:ascii="宋体" w:hAnsi="宋体"/>
          <w:b w:val="0"/>
          <w:sz w:val="21"/>
          <w:szCs w:val="21"/>
        </w:rPr>
        <w:t>的要求编制并加密。投标文件内容不完整、编排混乱导致投标文件被误读、漏读或者查找不到相关内容的，由此引发的后果由投标人承担。</w:t>
      </w:r>
    </w:p>
    <w:p w14:paraId="08C1C911">
      <w:pPr>
        <w:pStyle w:val="7"/>
        <w:keepNext w:val="0"/>
        <w:keepLines w:val="0"/>
        <w:numPr>
          <w:ilvl w:val="0"/>
          <w:numId w:val="0"/>
        </w:numPr>
        <w:spacing w:before="0" w:after="0" w:line="360" w:lineRule="auto"/>
        <w:ind w:firstLine="420" w:firstLineChars="200"/>
        <w:rPr>
          <w:rFonts w:ascii="宋体" w:hAnsi="宋体"/>
          <w:b w:val="0"/>
          <w:sz w:val="21"/>
          <w:szCs w:val="21"/>
        </w:rPr>
      </w:pPr>
      <w:bookmarkStart w:id="117" w:name="_19.2投标文件应按报价文件、资格证明文件、商务文件、技术文件分别编制"/>
      <w:bookmarkEnd w:id="117"/>
      <w:r>
        <w:rPr>
          <w:rFonts w:hint="eastAsia" w:ascii="宋体" w:hAnsi="宋体"/>
          <w:b w:val="0"/>
          <w:sz w:val="21"/>
          <w:szCs w:val="21"/>
        </w:rPr>
        <w:t>19.2为确保网上操作合法、有效和安全，投标人应当在投标截止时间前完成在</w:t>
      </w:r>
      <w:r>
        <w:rPr>
          <w:rFonts w:hint="eastAsia" w:ascii="宋体" w:hAnsi="宋体"/>
          <w:b w:val="0"/>
          <w:bCs/>
          <w:sz w:val="21"/>
          <w:szCs w:val="21"/>
        </w:rPr>
        <w:t>广西政府采购云平台</w:t>
      </w:r>
      <w:r>
        <w:rPr>
          <w:rFonts w:hint="eastAsia" w:ascii="宋体" w:hAnsi="宋体"/>
          <w:b w:val="0"/>
          <w:sz w:val="21"/>
          <w:szCs w:val="21"/>
        </w:rPr>
        <w:t>的身份认证，确保在电子投标过程中能够对相关数据电文进行加密和使用电子签章。</w:t>
      </w:r>
    </w:p>
    <w:p w14:paraId="4CFFBAFF">
      <w:pPr>
        <w:pStyle w:val="7"/>
        <w:keepNext w:val="0"/>
        <w:keepLines w:val="0"/>
        <w:spacing w:before="0" w:after="0" w:line="360" w:lineRule="auto"/>
        <w:ind w:firstLine="420" w:firstLineChars="200"/>
        <w:rPr>
          <w:rFonts w:ascii="宋体" w:hAnsi="宋体"/>
          <w:b w:val="0"/>
          <w:sz w:val="21"/>
          <w:szCs w:val="21"/>
        </w:rPr>
      </w:pPr>
      <w:r>
        <w:rPr>
          <w:rFonts w:hint="eastAsia" w:ascii="宋体" w:hAnsi="宋体"/>
          <w:b w:val="0"/>
          <w:sz w:val="21"/>
          <w:szCs w:val="21"/>
        </w:rPr>
        <w:t>19.3投标文件须由投标人在规定位置签字（或者电子签名）、盖章（具体以投标人须知前附表或投标文件格式规定为准），</w:t>
      </w:r>
      <w:r>
        <w:rPr>
          <w:rFonts w:hint="eastAsia" w:ascii="宋体" w:hAnsi="宋体"/>
          <w:bCs/>
          <w:sz w:val="21"/>
          <w:szCs w:val="21"/>
        </w:rPr>
        <w:t>否则按无效投标处理</w:t>
      </w:r>
      <w:r>
        <w:rPr>
          <w:rFonts w:hint="eastAsia" w:ascii="宋体" w:hAnsi="宋体"/>
          <w:b w:val="0"/>
          <w:sz w:val="21"/>
          <w:szCs w:val="21"/>
        </w:rPr>
        <w:t>。</w:t>
      </w:r>
      <w:r>
        <w:rPr>
          <w:rFonts w:hint="eastAsia" w:ascii="宋体" w:hAnsi="宋体"/>
          <w:b w:val="0"/>
          <w:bCs/>
          <w:sz w:val="21"/>
          <w:szCs w:val="21"/>
        </w:rPr>
        <w:t>投标人公章部分均采用CA 签章，投标文件中涉及到签字的位置使用个人CA签章，没有办理政采云个人CA签章的可在投标文件中涉及到签字的位置手写签字后扫描或者拍照做成PDF的格式上传即可。</w:t>
      </w:r>
    </w:p>
    <w:p w14:paraId="1D8F2413">
      <w:pPr>
        <w:pStyle w:val="7"/>
        <w:keepNext w:val="0"/>
        <w:keepLines w:val="0"/>
        <w:numPr>
          <w:ilvl w:val="0"/>
          <w:numId w:val="0"/>
        </w:numPr>
        <w:spacing w:before="0" w:after="0" w:line="360" w:lineRule="auto"/>
        <w:ind w:firstLine="420" w:firstLineChars="200"/>
        <w:rPr>
          <w:rFonts w:ascii="宋体" w:hAnsi="宋体"/>
          <w:b w:val="0"/>
          <w:sz w:val="21"/>
          <w:szCs w:val="21"/>
        </w:rPr>
      </w:pPr>
      <w:r>
        <w:rPr>
          <w:rFonts w:hint="eastAsia" w:ascii="宋体" w:hAnsi="宋体"/>
          <w:b w:val="0"/>
          <w:sz w:val="21"/>
          <w:szCs w:val="21"/>
        </w:rPr>
        <w:t>19.4投标文件中标注的投标人名称应与主体资格证明（如营业执照或者事业单位法人证书或者执业许可证或者登记证书等）及公章一致，并与“</w:t>
      </w:r>
      <w:r>
        <w:rPr>
          <w:rFonts w:hint="eastAsia" w:ascii="宋体" w:hAnsi="宋体"/>
          <w:b w:val="0"/>
          <w:bCs/>
          <w:sz w:val="21"/>
          <w:szCs w:val="21"/>
        </w:rPr>
        <w:t>广西政府采购云平台</w:t>
      </w:r>
      <w:r>
        <w:rPr>
          <w:rFonts w:hint="eastAsia" w:ascii="宋体" w:hAnsi="宋体"/>
          <w:b w:val="0"/>
          <w:sz w:val="21"/>
          <w:szCs w:val="21"/>
        </w:rPr>
        <w:t>”中获取招标文件的投标人名称一致，投标人为自然人的，标注的投标人名称应与身份证姓名及签名一致，</w:t>
      </w:r>
      <w:r>
        <w:rPr>
          <w:rFonts w:hint="eastAsia" w:ascii="宋体" w:hAnsi="宋体"/>
          <w:sz w:val="21"/>
          <w:szCs w:val="21"/>
        </w:rPr>
        <w:t>否则按无效投标处理</w:t>
      </w:r>
      <w:r>
        <w:rPr>
          <w:rFonts w:hint="eastAsia" w:ascii="宋体" w:hAnsi="宋体"/>
          <w:b w:val="0"/>
          <w:sz w:val="21"/>
          <w:szCs w:val="21"/>
        </w:rPr>
        <w:t>。</w:t>
      </w:r>
    </w:p>
    <w:p w14:paraId="015CF755">
      <w:pPr>
        <w:pStyle w:val="7"/>
        <w:keepNext w:val="0"/>
        <w:keepLines w:val="0"/>
        <w:numPr>
          <w:ilvl w:val="0"/>
          <w:numId w:val="0"/>
        </w:numPr>
        <w:spacing w:before="0" w:after="0" w:line="360" w:lineRule="auto"/>
        <w:ind w:firstLine="420" w:firstLineChars="200"/>
        <w:rPr>
          <w:rFonts w:ascii="黑体" w:hAnsi="黑体" w:eastAsia="黑体"/>
          <w:sz w:val="24"/>
        </w:rPr>
      </w:pPr>
      <w:r>
        <w:rPr>
          <w:rFonts w:hint="eastAsia" w:ascii="宋体" w:hAnsi="宋体"/>
          <w:b w:val="0"/>
          <w:sz w:val="21"/>
          <w:szCs w:val="21"/>
        </w:rPr>
        <w:t>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206F2C8F">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20.投备份投标文件</w:t>
      </w:r>
    </w:p>
    <w:p w14:paraId="31C01D9A">
      <w:pPr>
        <w:pStyle w:val="7"/>
        <w:keepNext w:val="0"/>
        <w:keepLines w:val="0"/>
        <w:numPr>
          <w:ilvl w:val="0"/>
          <w:numId w:val="0"/>
        </w:numPr>
        <w:spacing w:before="0" w:after="0" w:line="360" w:lineRule="auto"/>
        <w:ind w:firstLine="420" w:firstLineChars="200"/>
        <w:rPr>
          <w:rFonts w:ascii="宋体" w:hAnsi="宋体"/>
          <w:b w:val="0"/>
          <w:sz w:val="21"/>
          <w:szCs w:val="21"/>
        </w:rPr>
      </w:pPr>
      <w:r>
        <w:rPr>
          <w:rFonts w:hint="eastAsia" w:ascii="宋体" w:hAnsi="宋体"/>
          <w:b w:val="0"/>
          <w:sz w:val="21"/>
          <w:szCs w:val="21"/>
        </w:rPr>
        <w:t>电子备份投标文件是指通过“广西政府采购云平台电子投标客户端”在线编制生成且后缀名为“bfbs”的文件，是否接受电子备份投标文件详见在“投标人须知前附表”。</w:t>
      </w:r>
    </w:p>
    <w:p w14:paraId="3A734E19">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21.投标文件的提交</w:t>
      </w:r>
    </w:p>
    <w:p w14:paraId="2C2B417A">
      <w:pPr>
        <w:spacing w:line="360" w:lineRule="auto"/>
        <w:ind w:firstLine="420" w:firstLineChars="200"/>
        <w:rPr>
          <w:rFonts w:ascii="宋体" w:hAnsi="宋体"/>
          <w:szCs w:val="21"/>
        </w:rPr>
      </w:pPr>
      <w:bookmarkStart w:id="118" w:name="_21.1投标人必须在“投标人须知中的前附表”规定的投标文件接收时间和投"/>
      <w:bookmarkEnd w:id="118"/>
      <w:r>
        <w:rPr>
          <w:rFonts w:hint="eastAsia" w:ascii="宋体" w:hAnsi="宋体"/>
          <w:szCs w:val="21"/>
        </w:rPr>
        <w:t xml:space="preserve">21.1投标人必须在“投标人须知前附表”规定的投标文件提交截止时间前将电子投标文件提交至投标地点。电子投标文件应在制作完成后，在投标截止时间前通过有效数字证书（CA认证锁）进行电子签章、加密，然后通过网络将加密的电子投标文件递交至广西政府采购云平台。  </w:t>
      </w:r>
    </w:p>
    <w:p w14:paraId="3216E5DD">
      <w:pPr>
        <w:spacing w:line="360" w:lineRule="auto"/>
        <w:ind w:firstLine="422" w:firstLineChars="200"/>
        <w:rPr>
          <w:rFonts w:ascii="宋体" w:hAnsi="宋体"/>
          <w:b/>
          <w:bCs/>
          <w:szCs w:val="21"/>
        </w:rPr>
      </w:pPr>
      <w:r>
        <w:rPr>
          <w:rFonts w:hint="eastAsia" w:ascii="宋体" w:hAnsi="宋体"/>
          <w:b/>
          <w:bCs/>
          <w:szCs w:val="21"/>
        </w:rPr>
        <w:t>21.2未在规定时间内提交或者未按照招标文件要求加密的电子投标文件，广西政府采购云平台将拒收。</w:t>
      </w:r>
    </w:p>
    <w:p w14:paraId="0D240E1B">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22.投标文件的补充、修改、撤回与退回</w:t>
      </w:r>
    </w:p>
    <w:p w14:paraId="05EB9326">
      <w:pPr>
        <w:spacing w:line="360" w:lineRule="auto"/>
        <w:ind w:firstLine="420" w:firstLineChars="200"/>
        <w:rPr>
          <w:rFonts w:ascii="宋体" w:hAnsi="宋体" w:cs="宋体"/>
          <w:szCs w:val="21"/>
        </w:rPr>
      </w:pPr>
      <w:r>
        <w:rPr>
          <w:rFonts w:hint="eastAsia" w:ascii="宋体" w:hAnsi="宋体" w:cs="宋体"/>
          <w:szCs w:val="21"/>
        </w:rPr>
        <w:t>22.1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补充、修改或者撤回方式可登陆“广西政府采购云平台，进入“服务中心”中查看“电子投标文件制作与投送教程”）</w:t>
      </w:r>
    </w:p>
    <w:p w14:paraId="6B090E01">
      <w:pPr>
        <w:spacing w:line="360" w:lineRule="auto"/>
        <w:ind w:firstLine="420" w:firstLineChars="200"/>
        <w:rPr>
          <w:rFonts w:ascii="宋体" w:hAnsi="宋体" w:cs="宋体"/>
          <w:szCs w:val="21"/>
        </w:rPr>
      </w:pPr>
      <w:r>
        <w:rPr>
          <w:rFonts w:hint="eastAsia" w:ascii="宋体" w:hAnsi="宋体" w:cs="宋体"/>
          <w:szCs w:val="21"/>
        </w:rPr>
        <w:t>22.2广西政府采购云平台收到投标文件后向供应商发出确认回执通知。在投标截止时间前，除供应商补充、修改或者撤回投标文件外，任何单位和个人不得解密或提取投标文件。</w:t>
      </w:r>
    </w:p>
    <w:p w14:paraId="1432F24E">
      <w:pPr>
        <w:spacing w:line="360" w:lineRule="auto"/>
        <w:ind w:firstLine="420" w:firstLineChars="200"/>
        <w:rPr>
          <w:rFonts w:ascii="宋体" w:hAnsi="宋体" w:cs="宋体"/>
          <w:szCs w:val="21"/>
        </w:rPr>
      </w:pPr>
      <w:r>
        <w:rPr>
          <w:rFonts w:hint="eastAsia" w:ascii="宋体" w:hAnsi="宋体" w:cs="宋体"/>
          <w:szCs w:val="21"/>
        </w:rPr>
        <w:t>22.3在投标截止时间后，采购人和采购代理机构对已提交的投标文件概不退回。</w:t>
      </w:r>
    </w:p>
    <w:p w14:paraId="134D777C">
      <w:pPr>
        <w:pStyle w:val="14"/>
        <w:snapToGrid w:val="0"/>
        <w:spacing w:line="360" w:lineRule="auto"/>
        <w:ind w:firstLine="739"/>
        <w:rPr>
          <w:rFonts w:ascii="宋体" w:hAnsi="宋体" w:eastAsia="宋体"/>
          <w:snapToGrid w:val="0"/>
          <w:sz w:val="21"/>
          <w:szCs w:val="21"/>
        </w:rPr>
      </w:pPr>
    </w:p>
    <w:p w14:paraId="2857719F">
      <w:pPr>
        <w:pStyle w:val="5"/>
        <w:keepNext w:val="0"/>
        <w:keepLines w:val="0"/>
        <w:jc w:val="center"/>
      </w:pPr>
      <w:bookmarkStart w:id="119" w:name="_Toc254970685"/>
      <w:bookmarkStart w:id="120" w:name="_Toc254970544"/>
      <w:r>
        <w:rPr>
          <w:rFonts w:hint="eastAsia"/>
        </w:rPr>
        <w:t>四、开标</w:t>
      </w:r>
      <w:bookmarkEnd w:id="119"/>
      <w:bookmarkEnd w:id="120"/>
    </w:p>
    <w:p w14:paraId="4DF55EA7">
      <w:pPr>
        <w:pStyle w:val="7"/>
        <w:keepNext w:val="0"/>
        <w:keepLines w:val="0"/>
        <w:spacing w:before="0" w:after="0" w:line="360" w:lineRule="auto"/>
        <w:ind w:left="420" w:leftChars="200"/>
        <w:rPr>
          <w:rFonts w:ascii="黑体" w:hAnsi="黑体" w:eastAsia="黑体"/>
          <w:sz w:val="24"/>
        </w:rPr>
      </w:pPr>
      <w:bookmarkStart w:id="121" w:name="_23.开标时间和地点"/>
      <w:bookmarkEnd w:id="121"/>
      <w:r>
        <w:rPr>
          <w:rFonts w:hint="eastAsia" w:ascii="黑体" w:hAnsi="黑体" w:eastAsia="黑体"/>
          <w:sz w:val="24"/>
        </w:rPr>
        <w:t>23.开标时间和地点</w:t>
      </w:r>
    </w:p>
    <w:p w14:paraId="00C29E80">
      <w:pPr>
        <w:spacing w:line="360" w:lineRule="auto"/>
        <w:ind w:firstLine="420" w:firstLineChars="200"/>
        <w:rPr>
          <w:rFonts w:hAnsi="宋体"/>
          <w:bCs/>
        </w:rPr>
      </w:pPr>
      <w:r>
        <w:rPr>
          <w:rFonts w:hint="eastAsia" w:hAnsi="宋体"/>
          <w:bCs/>
        </w:rPr>
        <w:t>开标时间及地点详见“投标人须知前附表”</w:t>
      </w:r>
    </w:p>
    <w:p w14:paraId="7B15E624">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24.开标程序</w:t>
      </w:r>
    </w:p>
    <w:p w14:paraId="7A79724C">
      <w:pPr>
        <w:pStyle w:val="2"/>
        <w:spacing w:line="360" w:lineRule="auto"/>
      </w:pPr>
      <w:r>
        <w:rPr>
          <w:rFonts w:hint="eastAsia"/>
        </w:rPr>
        <w:t>2</w:t>
      </w:r>
      <w:r>
        <w:t>4.1</w:t>
      </w:r>
      <w:r>
        <w:rPr>
          <w:rFonts w:hint="eastAsia"/>
        </w:rPr>
        <w:t>提交投标文件截止时间止，投标人不足3家的，不得开标。</w:t>
      </w:r>
    </w:p>
    <w:p w14:paraId="3831F387">
      <w:pPr>
        <w:pStyle w:val="2"/>
        <w:spacing w:line="360" w:lineRule="auto"/>
      </w:pPr>
      <w:r>
        <w:rPr>
          <w:rFonts w:hint="eastAsia"/>
        </w:rPr>
        <w:t>24.</w:t>
      </w:r>
      <w:r>
        <w:t>2</w:t>
      </w:r>
      <w:r>
        <w:rPr>
          <w:rFonts w:hint="eastAsia"/>
        </w:rPr>
        <w:t>采购代理机构将按照招标文件规定的时间通过</w:t>
      </w:r>
      <w:r>
        <w:rPr>
          <w:rFonts w:hint="eastAsia" w:ascii="宋体" w:hAnsi="宋体"/>
          <w:bCs/>
          <w:szCs w:val="21"/>
        </w:rPr>
        <w:t>广西政府采购云平台</w:t>
      </w:r>
      <w:r>
        <w:rPr>
          <w:rFonts w:hint="eastAsia"/>
        </w:rPr>
        <w:t>组织线上开标活动，所有供应商均应当准时在线参加，投标人因未在线参加开标而导致投标文件无法按时解密等一切后果由投标人自己承担。</w:t>
      </w:r>
    </w:p>
    <w:p w14:paraId="50148E7F">
      <w:pPr>
        <w:pStyle w:val="2"/>
        <w:spacing w:line="360" w:lineRule="auto"/>
      </w:pPr>
      <w:r>
        <w:rPr>
          <w:rFonts w:hint="eastAsia"/>
        </w:rPr>
        <w:t>24.</w:t>
      </w:r>
      <w:r>
        <w:t>3</w:t>
      </w:r>
      <w:r>
        <w:rPr>
          <w:rFonts w:hint="eastAsia"/>
        </w:rPr>
        <w:t>开标程序</w:t>
      </w:r>
    </w:p>
    <w:p w14:paraId="628318BF">
      <w:pPr>
        <w:pStyle w:val="2"/>
        <w:spacing w:line="360" w:lineRule="auto"/>
      </w:pPr>
      <w:r>
        <w:rPr>
          <w:rFonts w:hint="eastAsia"/>
        </w:rPr>
        <w:t>（1）解密电子投标文件。</w:t>
      </w:r>
      <w:r>
        <w:rPr>
          <w:rFonts w:hint="eastAsia" w:ascii="宋体" w:hAnsi="宋体"/>
          <w:bCs/>
          <w:szCs w:val="21"/>
        </w:rPr>
        <w:t>广西政府采购云平台</w:t>
      </w:r>
      <w:r>
        <w:rPr>
          <w:rFonts w:hint="eastAsia"/>
        </w:rPr>
        <w:t>按开标时间自动提取所有投标文件。采购代理机构依托</w:t>
      </w:r>
      <w:r>
        <w:rPr>
          <w:rFonts w:hint="eastAsia" w:ascii="宋体" w:hAnsi="宋体"/>
          <w:bCs/>
          <w:szCs w:val="21"/>
        </w:rPr>
        <w:t>广西政府采购云平台</w:t>
      </w:r>
      <w:r>
        <w:rPr>
          <w:rFonts w:hint="eastAsia"/>
        </w:rPr>
        <w:t>向各投标人发出电子加密投标文件【开始解密】通知，由投标人按</w:t>
      </w:r>
      <w:r>
        <w:rPr>
          <w:rFonts w:hint="eastAsia" w:hAnsi="宋体"/>
          <w:bCs/>
          <w:szCs w:val="21"/>
        </w:rPr>
        <w:t>“投标人须知前附表”</w:t>
      </w:r>
      <w:r>
        <w:rPr>
          <w:rFonts w:hint="eastAsia"/>
        </w:rPr>
        <w:t>规定的时间内自行进行投标文件解密。投标人的法定代表人或其委托代理人须凭加密时所用的CA锁准时登录到</w:t>
      </w:r>
      <w:r>
        <w:rPr>
          <w:rFonts w:hint="eastAsia" w:ascii="宋体" w:hAnsi="宋体"/>
          <w:bCs/>
          <w:szCs w:val="21"/>
        </w:rPr>
        <w:t>广西政府采购云平台</w:t>
      </w:r>
      <w:r>
        <w:rPr>
          <w:rFonts w:hint="eastAsia"/>
        </w:rPr>
        <w:t>电子开标大厅签到并对电子投标文件解密。</w:t>
      </w:r>
      <w:r>
        <w:rPr>
          <w:b/>
        </w:rPr>
        <w:t>投标人</w:t>
      </w:r>
      <w:r>
        <w:rPr>
          <w:rFonts w:hint="eastAsia"/>
          <w:b/>
        </w:rPr>
        <w:t>未在</w:t>
      </w:r>
      <w:r>
        <w:rPr>
          <w:b/>
        </w:rPr>
        <w:t>规定的时间内解密</w:t>
      </w:r>
      <w:r>
        <w:rPr>
          <w:rFonts w:hint="eastAsia"/>
          <w:b/>
        </w:rPr>
        <w:t>投标文件</w:t>
      </w:r>
      <w:r>
        <w:rPr>
          <w:b/>
        </w:rPr>
        <w:t>或</w:t>
      </w:r>
      <w:r>
        <w:rPr>
          <w:rFonts w:hint="eastAsia"/>
          <w:b/>
        </w:rPr>
        <w:t>者</w:t>
      </w:r>
      <w:r>
        <w:rPr>
          <w:b/>
        </w:rPr>
        <w:t>解密失败的</w:t>
      </w:r>
      <w:r>
        <w:rPr>
          <w:rFonts w:hint="eastAsia"/>
          <w:b/>
        </w:rPr>
        <w:t>，</w:t>
      </w:r>
      <w:r>
        <w:rPr>
          <w:rFonts w:hint="eastAsia" w:ascii="宋体" w:hAnsi="宋体"/>
          <w:b/>
          <w:szCs w:val="21"/>
        </w:rPr>
        <w:t>投标人的投标文件作无效处理。</w:t>
      </w:r>
    </w:p>
    <w:p w14:paraId="46A64F41">
      <w:pPr>
        <w:pStyle w:val="2"/>
        <w:spacing w:line="360" w:lineRule="auto"/>
      </w:pPr>
      <w:r>
        <w:rPr>
          <w:rFonts w:hint="eastAsia"/>
        </w:rPr>
        <w:t>（2）电子唱标。投标文件解密结束，宣布的内容均在</w:t>
      </w:r>
      <w:r>
        <w:rPr>
          <w:rFonts w:hint="eastAsia" w:ascii="宋体" w:hAnsi="宋体"/>
          <w:bCs/>
          <w:szCs w:val="21"/>
        </w:rPr>
        <w:t>广西政府采购云平台</w:t>
      </w:r>
      <w:r>
        <w:rPr>
          <w:rFonts w:hint="eastAsia"/>
        </w:rPr>
        <w:t>远程开标大厅展示，具体详见</w:t>
      </w:r>
      <w:r>
        <w:rPr>
          <w:rFonts w:hint="eastAsia" w:hAnsi="宋体"/>
          <w:bCs/>
        </w:rPr>
        <w:t>“投标人须知前附表”</w:t>
      </w:r>
      <w:r>
        <w:rPr>
          <w:rFonts w:hint="eastAsia"/>
        </w:rPr>
        <w:t>；</w:t>
      </w:r>
    </w:p>
    <w:p w14:paraId="3E0380F8">
      <w:pPr>
        <w:pStyle w:val="2"/>
        <w:spacing w:line="360" w:lineRule="auto"/>
        <w:rPr>
          <w:szCs w:val="21"/>
        </w:rPr>
      </w:pPr>
      <w:r>
        <w:rPr>
          <w:rFonts w:hint="eastAsia"/>
        </w:rPr>
        <w:t>（3）开标过程由采购代理机构如实记录，并电子留痕，由参加电子开标的各投标人代表对电子开标记录在开标记录公布后15分钟内进行当</w:t>
      </w:r>
      <w:r>
        <w:rPr>
          <w:rFonts w:hint="eastAsia"/>
          <w:szCs w:val="21"/>
        </w:rPr>
        <w:t>场校核及勘误，并线上确认是否有异议，未确认的视同认可开标结果。</w:t>
      </w:r>
    </w:p>
    <w:p w14:paraId="29CF3851">
      <w:pPr>
        <w:pStyle w:val="2"/>
        <w:spacing w:line="360" w:lineRule="auto"/>
        <w:rPr>
          <w:szCs w:val="21"/>
        </w:rPr>
      </w:pPr>
      <w:r>
        <w:rPr>
          <w:rFonts w:hint="eastAsia"/>
          <w:szCs w:val="21"/>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52A9C178">
      <w:pPr>
        <w:pStyle w:val="2"/>
        <w:spacing w:line="360" w:lineRule="auto"/>
        <w:rPr>
          <w:szCs w:val="21"/>
        </w:rPr>
      </w:pPr>
      <w:r>
        <w:rPr>
          <w:rFonts w:hint="eastAsia"/>
          <w:szCs w:val="21"/>
        </w:rPr>
        <w:t>（5）开标结束。</w:t>
      </w:r>
    </w:p>
    <w:p w14:paraId="02BE5639">
      <w:pPr>
        <w:pStyle w:val="15"/>
        <w:snapToGrid w:val="0"/>
        <w:spacing w:line="360" w:lineRule="auto"/>
        <w:ind w:firstLine="420" w:firstLineChars="200"/>
        <w:rPr>
          <w:rFonts w:hAnsi="宋体"/>
          <w:sz w:val="21"/>
        </w:rPr>
      </w:pPr>
      <w:r>
        <w:rPr>
          <w:rFonts w:hint="eastAsia"/>
          <w:sz w:val="21"/>
        </w:rPr>
        <w:t>特别说明：如遇“</w:t>
      </w:r>
      <w:r>
        <w:rPr>
          <w:rFonts w:hint="eastAsia" w:hAnsi="宋体"/>
          <w:bCs/>
          <w:sz w:val="21"/>
        </w:rPr>
        <w:t>广西政府采购云平台</w:t>
      </w:r>
      <w:r>
        <w:rPr>
          <w:rFonts w:hint="eastAsia"/>
          <w:sz w:val="21"/>
        </w:rPr>
        <w:t>电子化开标或评审程序调整的，按调整后执行。</w:t>
      </w:r>
    </w:p>
    <w:p w14:paraId="33C1F304">
      <w:pPr>
        <w:pStyle w:val="15"/>
        <w:snapToGrid w:val="0"/>
        <w:spacing w:line="360" w:lineRule="auto"/>
        <w:ind w:left="689" w:leftChars="228" w:hanging="210" w:hangingChars="100"/>
        <w:rPr>
          <w:rFonts w:hAnsi="宋体"/>
          <w:sz w:val="21"/>
        </w:rPr>
      </w:pPr>
    </w:p>
    <w:p w14:paraId="1E16EE6C">
      <w:pPr>
        <w:pStyle w:val="5"/>
        <w:keepNext w:val="0"/>
        <w:keepLines w:val="0"/>
        <w:jc w:val="center"/>
      </w:pPr>
      <w:r>
        <w:rPr>
          <w:rFonts w:hint="eastAsia"/>
        </w:rPr>
        <w:t>五、资格审查</w:t>
      </w:r>
    </w:p>
    <w:p w14:paraId="00D64A7B">
      <w:pPr>
        <w:pStyle w:val="7"/>
        <w:keepNext w:val="0"/>
        <w:keepLines w:val="0"/>
        <w:spacing w:before="0" w:after="0" w:line="400" w:lineRule="exact"/>
        <w:ind w:left="420" w:leftChars="200"/>
        <w:rPr>
          <w:rFonts w:ascii="黑体" w:hAnsi="黑体" w:eastAsia="黑体"/>
          <w:sz w:val="24"/>
        </w:rPr>
      </w:pPr>
      <w:r>
        <w:rPr>
          <w:rFonts w:hint="eastAsia" w:ascii="黑体" w:hAnsi="黑体" w:eastAsia="黑体"/>
          <w:sz w:val="24"/>
        </w:rPr>
        <w:t>25.资格审查</w:t>
      </w:r>
    </w:p>
    <w:p w14:paraId="61818E8D">
      <w:pPr>
        <w:pStyle w:val="7"/>
        <w:keepNext w:val="0"/>
        <w:keepLines w:val="0"/>
        <w:spacing w:before="0" w:after="0" w:line="400" w:lineRule="exact"/>
        <w:ind w:firstLine="315" w:firstLineChars="150"/>
        <w:rPr>
          <w:rFonts w:ascii="宋体" w:hAnsi="宋体"/>
          <w:b w:val="0"/>
          <w:sz w:val="21"/>
          <w:szCs w:val="21"/>
        </w:rPr>
      </w:pPr>
      <w:r>
        <w:rPr>
          <w:rFonts w:hint="eastAsia" w:ascii="宋体" w:hAnsi="宋体"/>
          <w:b w:val="0"/>
          <w:sz w:val="21"/>
          <w:szCs w:val="21"/>
        </w:rPr>
        <w:t xml:space="preserve"> 25.1</w:t>
      </w:r>
      <w:r>
        <w:rPr>
          <w:rFonts w:ascii="宋体" w:hAnsi="宋体"/>
          <w:b w:val="0"/>
          <w:sz w:val="21"/>
          <w:szCs w:val="21"/>
        </w:rPr>
        <w:t>开标结束后，</w:t>
      </w:r>
      <w:r>
        <w:rPr>
          <w:rFonts w:hint="eastAsia" w:ascii="宋体" w:hAnsi="宋体"/>
          <w:b w:val="0"/>
          <w:sz w:val="21"/>
          <w:szCs w:val="21"/>
        </w:rPr>
        <w:t>采购人或者采购代理机构通过电子开评标系统依据招标文件对电子投标文件进行线上资格审查</w:t>
      </w:r>
      <w:r>
        <w:rPr>
          <w:rFonts w:ascii="宋体" w:hAnsi="宋体"/>
          <w:b w:val="0"/>
          <w:sz w:val="21"/>
          <w:szCs w:val="21"/>
        </w:rPr>
        <w:t>。</w:t>
      </w:r>
    </w:p>
    <w:p w14:paraId="32CFBF33">
      <w:pPr>
        <w:pStyle w:val="7"/>
        <w:keepNext w:val="0"/>
        <w:keepLines w:val="0"/>
        <w:spacing w:before="0" w:after="0" w:line="400" w:lineRule="exact"/>
        <w:ind w:firstLine="315" w:firstLineChars="150"/>
        <w:rPr>
          <w:rFonts w:ascii="宋体" w:hAnsi="宋体"/>
          <w:b w:val="0"/>
          <w:sz w:val="21"/>
          <w:szCs w:val="21"/>
        </w:rPr>
      </w:pPr>
      <w:r>
        <w:rPr>
          <w:rFonts w:hint="eastAsia" w:ascii="宋体" w:hAnsi="宋体"/>
          <w:b w:val="0"/>
          <w:sz w:val="21"/>
          <w:szCs w:val="21"/>
        </w:rPr>
        <w:t xml:space="preserve"> 25.2资格审查标准为本招标文件中载明对投标人资格要求的条件。本项目资格审查采用合格制，凡符合招标文件规定的投标人资格要求的投标人均通过资格审查。</w:t>
      </w:r>
    </w:p>
    <w:p w14:paraId="2877DAD6">
      <w:pPr>
        <w:pStyle w:val="7"/>
        <w:keepNext w:val="0"/>
        <w:keepLines w:val="0"/>
        <w:numPr>
          <w:ilvl w:val="0"/>
          <w:numId w:val="0"/>
        </w:numPr>
        <w:spacing w:before="0" w:after="0" w:line="400" w:lineRule="exact"/>
        <w:ind w:firstLine="422" w:firstLineChars="200"/>
        <w:rPr>
          <w:rFonts w:ascii="宋体" w:hAnsi="宋体"/>
          <w:sz w:val="21"/>
          <w:szCs w:val="21"/>
        </w:rPr>
      </w:pPr>
      <w:r>
        <w:rPr>
          <w:rFonts w:hint="eastAsia" w:ascii="宋体" w:hAnsi="宋体"/>
          <w:sz w:val="21"/>
          <w:szCs w:val="21"/>
        </w:rPr>
        <w:t>25.3 投标人有下列情形之一的，资格审查不通过，作无效投标处理：</w:t>
      </w:r>
    </w:p>
    <w:p w14:paraId="6D6569D5">
      <w:pPr>
        <w:pStyle w:val="15"/>
        <w:snapToGrid w:val="0"/>
        <w:spacing w:line="400" w:lineRule="exact"/>
        <w:ind w:firstLine="422" w:firstLineChars="200"/>
        <w:rPr>
          <w:rFonts w:hAnsi="宋体"/>
          <w:b/>
          <w:sz w:val="21"/>
        </w:rPr>
      </w:pPr>
      <w:r>
        <w:rPr>
          <w:rFonts w:hint="eastAsia" w:hAnsi="宋体"/>
          <w:b/>
          <w:sz w:val="21"/>
        </w:rPr>
        <w:t>（1）不具备招标文件中规定的资格要求的；</w:t>
      </w:r>
    </w:p>
    <w:p w14:paraId="1D35FC9B">
      <w:pPr>
        <w:pStyle w:val="15"/>
        <w:snapToGrid w:val="0"/>
        <w:spacing w:line="400" w:lineRule="exact"/>
        <w:ind w:firstLine="422" w:firstLineChars="200"/>
        <w:rPr>
          <w:rFonts w:hAnsi="宋体"/>
          <w:b/>
          <w:sz w:val="21"/>
        </w:rPr>
      </w:pPr>
      <w:r>
        <w:rPr>
          <w:rFonts w:hint="eastAsia" w:hAnsi="宋体"/>
          <w:b/>
          <w:sz w:val="21"/>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14:paraId="36122271">
      <w:pPr>
        <w:pStyle w:val="15"/>
        <w:snapToGrid w:val="0"/>
        <w:spacing w:line="400" w:lineRule="exact"/>
        <w:ind w:firstLine="422" w:firstLineChars="200"/>
        <w:rPr>
          <w:rFonts w:hAnsi="宋体"/>
          <w:b/>
          <w:sz w:val="21"/>
        </w:rPr>
      </w:pPr>
      <w:r>
        <w:rPr>
          <w:rFonts w:hint="eastAsia" w:hAnsi="宋体"/>
          <w:b/>
          <w:sz w:val="21"/>
        </w:rPr>
        <w:t>（3）同一合同项下的不同投标人，单位负责人为同一人或者存在直接控股、管理关系的；为本项目提供过整体设计、规范编制或者项目管理、监理、检测等服务的供应商，再参加该采购项目的其他采购活动的；</w:t>
      </w:r>
    </w:p>
    <w:p w14:paraId="27C2DB6A">
      <w:pPr>
        <w:pStyle w:val="15"/>
        <w:snapToGrid w:val="0"/>
        <w:spacing w:line="400" w:lineRule="exact"/>
        <w:ind w:firstLine="422" w:firstLineChars="200"/>
        <w:rPr>
          <w:rFonts w:hAnsi="宋体"/>
          <w:b/>
          <w:sz w:val="21"/>
        </w:rPr>
      </w:pPr>
      <w:r>
        <w:rPr>
          <w:rFonts w:hint="eastAsia" w:hAnsi="宋体"/>
          <w:b/>
          <w:sz w:val="21"/>
        </w:rPr>
        <w:t>（4）投标文件中的资格证明文件缺少任一项“投标人须知前附表”资格证明文件规定“必须提供”的文件资料的；</w:t>
      </w:r>
    </w:p>
    <w:p w14:paraId="75704E0F">
      <w:pPr>
        <w:pStyle w:val="15"/>
        <w:snapToGrid w:val="0"/>
        <w:spacing w:line="400" w:lineRule="exact"/>
        <w:ind w:firstLine="422" w:firstLineChars="200"/>
        <w:rPr>
          <w:rFonts w:hAnsi="宋体"/>
          <w:b/>
          <w:sz w:val="21"/>
        </w:rPr>
      </w:pPr>
      <w:r>
        <w:rPr>
          <w:rFonts w:hint="eastAsia" w:hAnsi="宋体"/>
          <w:b/>
          <w:sz w:val="21"/>
        </w:rPr>
        <w:t>（5）投标文件中的资格证明文件出现任一项不符合“投标人须知前附表”资格证明文件规定“必须提供”的文件资料要求或者无效的。</w:t>
      </w:r>
    </w:p>
    <w:p w14:paraId="3A88397F">
      <w:pPr>
        <w:pStyle w:val="15"/>
        <w:snapToGrid w:val="0"/>
        <w:spacing w:line="400" w:lineRule="exact"/>
        <w:ind w:firstLine="422" w:firstLineChars="200"/>
        <w:rPr>
          <w:rFonts w:hAnsi="宋体"/>
          <w:sz w:val="21"/>
        </w:rPr>
      </w:pPr>
      <w:r>
        <w:rPr>
          <w:rFonts w:hint="eastAsia" w:hAnsi="宋体"/>
          <w:b/>
          <w:bCs/>
          <w:sz w:val="21"/>
        </w:rPr>
        <w:t>25.4</w:t>
      </w:r>
      <w:r>
        <w:rPr>
          <w:rFonts w:hAnsi="宋体"/>
          <w:b/>
          <w:bCs/>
          <w:sz w:val="21"/>
        </w:rPr>
        <w:t>合格投标人不足3家的，不得评标。</w:t>
      </w:r>
      <w:bookmarkStart w:id="122" w:name="_25.3_投标人有下列情形之一的，资格审查不通过而导致其投标无效："/>
      <w:bookmarkEnd w:id="122"/>
    </w:p>
    <w:p w14:paraId="410434E4">
      <w:pPr>
        <w:pStyle w:val="5"/>
        <w:keepNext w:val="0"/>
        <w:keepLines w:val="0"/>
        <w:jc w:val="center"/>
      </w:pPr>
      <w:r>
        <w:rPr>
          <w:rFonts w:hint="eastAsia"/>
        </w:rPr>
        <w:t>六、评标</w:t>
      </w:r>
    </w:p>
    <w:p w14:paraId="649869DA">
      <w:pPr>
        <w:pStyle w:val="7"/>
        <w:keepNext w:val="0"/>
        <w:keepLines w:val="0"/>
        <w:spacing w:before="0" w:after="0" w:line="360" w:lineRule="auto"/>
        <w:ind w:left="420" w:leftChars="200"/>
        <w:rPr>
          <w:rFonts w:ascii="黑体" w:hAnsi="黑体" w:eastAsia="黑体"/>
          <w:sz w:val="24"/>
        </w:rPr>
      </w:pPr>
      <w:bookmarkStart w:id="123" w:name="_26.组建评标委员会"/>
      <w:bookmarkEnd w:id="123"/>
      <w:r>
        <w:rPr>
          <w:rFonts w:hint="eastAsia" w:ascii="黑体" w:hAnsi="黑体" w:eastAsia="黑体"/>
          <w:sz w:val="24"/>
        </w:rPr>
        <w:t>26.组建评标委员会</w:t>
      </w:r>
    </w:p>
    <w:p w14:paraId="22C32946">
      <w:pPr>
        <w:pStyle w:val="15"/>
        <w:snapToGrid w:val="0"/>
        <w:spacing w:line="360" w:lineRule="auto"/>
        <w:ind w:left="2" w:leftChars="1" w:firstLine="420" w:firstLineChars="200"/>
        <w:rPr>
          <w:rFonts w:hAnsi="宋体"/>
          <w:sz w:val="21"/>
        </w:rPr>
      </w:pPr>
      <w:r>
        <w:rPr>
          <w:rFonts w:hint="eastAsia" w:hAnsi="宋体"/>
          <w:sz w:val="21"/>
        </w:rPr>
        <w:t>26.1评标委员会由采购人代表和评审专家组成，具体人数详见“投标人须知前附表”，其中评审专家不得少于成员总数的三分之二。</w:t>
      </w:r>
    </w:p>
    <w:p w14:paraId="6D18E4DC">
      <w:pPr>
        <w:pStyle w:val="15"/>
        <w:snapToGrid w:val="0"/>
        <w:spacing w:line="360" w:lineRule="auto"/>
        <w:ind w:left="2" w:leftChars="1" w:firstLine="420" w:firstLineChars="200"/>
        <w:rPr>
          <w:rFonts w:hAnsi="宋体"/>
          <w:sz w:val="21"/>
        </w:rPr>
      </w:pPr>
      <w:r>
        <w:rPr>
          <w:rFonts w:hint="eastAsia" w:hAnsi="宋体"/>
          <w:sz w:val="21"/>
        </w:rPr>
        <w:t>26.2参加过采购项目前期咨询论证的专家，不得参加该采购项目的评审活动。</w:t>
      </w:r>
    </w:p>
    <w:p w14:paraId="4144C770">
      <w:pPr>
        <w:pStyle w:val="15"/>
        <w:snapToGrid w:val="0"/>
        <w:spacing w:line="360" w:lineRule="auto"/>
        <w:ind w:left="2" w:leftChars="1" w:firstLine="420" w:firstLineChars="200"/>
        <w:rPr>
          <w:rFonts w:hAnsi="宋体"/>
          <w:sz w:val="21"/>
        </w:rPr>
      </w:pPr>
      <w:r>
        <w:rPr>
          <w:rFonts w:hint="eastAsia" w:hAnsi="宋体"/>
          <w:sz w:val="21"/>
        </w:rPr>
        <w:t>26.3采购代理机构应当基于广西政府采购云平台抽（选）取评审专家。</w:t>
      </w:r>
    </w:p>
    <w:p w14:paraId="4F78A6A8">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27.评标的依据</w:t>
      </w:r>
    </w:p>
    <w:p w14:paraId="377FCFB9">
      <w:pPr>
        <w:pStyle w:val="15"/>
        <w:snapToGrid w:val="0"/>
        <w:spacing w:line="360" w:lineRule="auto"/>
        <w:ind w:firstLine="420" w:firstLineChars="200"/>
        <w:rPr>
          <w:rFonts w:hAnsi="宋体"/>
          <w:sz w:val="21"/>
        </w:rPr>
      </w:pPr>
      <w:r>
        <w:rPr>
          <w:rFonts w:hint="eastAsia" w:hAnsi="宋体"/>
          <w:sz w:val="21"/>
        </w:rPr>
        <w:t>评标委员会以“第四章 评标方法和评标标准”为依据对投标文件进行评审，没有规定的方法、评审因素和标准，不作为评标依据。</w:t>
      </w:r>
    </w:p>
    <w:p w14:paraId="707A8AF8">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28.评标原则</w:t>
      </w:r>
    </w:p>
    <w:p w14:paraId="7F385DF2">
      <w:pPr>
        <w:pStyle w:val="15"/>
        <w:snapToGrid w:val="0"/>
        <w:spacing w:line="360" w:lineRule="auto"/>
        <w:ind w:firstLine="420" w:firstLineChars="200"/>
        <w:rPr>
          <w:rFonts w:hAnsi="宋体"/>
          <w:sz w:val="21"/>
        </w:rPr>
      </w:pPr>
      <w:r>
        <w:rPr>
          <w:rFonts w:hint="eastAsia" w:hAnsi="宋体"/>
          <w:sz w:val="21"/>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25105055">
      <w:pPr>
        <w:pStyle w:val="15"/>
        <w:snapToGrid w:val="0"/>
        <w:spacing w:line="360" w:lineRule="auto"/>
        <w:ind w:firstLine="420" w:firstLineChars="200"/>
        <w:rPr>
          <w:rFonts w:hAnsi="宋体"/>
          <w:sz w:val="21"/>
        </w:rPr>
      </w:pPr>
      <w:r>
        <w:rPr>
          <w:rFonts w:hint="eastAsia" w:hAnsi="宋体"/>
          <w:sz w:val="21"/>
        </w:rPr>
        <w:t>28.2评委表决。评标委员会成员对需要共同认定的事项存在争议的，应当按照少数服从多数的原则作出结论。</w:t>
      </w:r>
    </w:p>
    <w:p w14:paraId="1F6DE7C3">
      <w:pPr>
        <w:pStyle w:val="15"/>
        <w:snapToGrid w:val="0"/>
        <w:spacing w:line="360" w:lineRule="auto"/>
        <w:ind w:firstLine="420" w:firstLineChars="200"/>
        <w:rPr>
          <w:rFonts w:hAnsi="宋体"/>
          <w:sz w:val="21"/>
        </w:rPr>
      </w:pPr>
      <w:r>
        <w:rPr>
          <w:rFonts w:hint="eastAsia" w:hAnsi="宋体"/>
          <w:sz w:val="21"/>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77977510">
      <w:pPr>
        <w:pStyle w:val="15"/>
        <w:snapToGrid w:val="0"/>
        <w:spacing w:line="360" w:lineRule="auto"/>
        <w:ind w:firstLine="420" w:firstLineChars="200"/>
        <w:rPr>
          <w:rFonts w:hAnsi="宋体"/>
          <w:b/>
          <w:bCs/>
          <w:sz w:val="21"/>
        </w:rPr>
      </w:pPr>
      <w:r>
        <w:rPr>
          <w:rFonts w:hint="eastAsia" w:hAnsi="宋体"/>
          <w:sz w:val="21"/>
        </w:rPr>
        <w:t>28.4评标过程的监控。本项目电子评标过程实行网上留痕、全程录音、录像监控，</w:t>
      </w:r>
      <w:r>
        <w:rPr>
          <w:rFonts w:hint="eastAsia" w:hAnsi="宋体"/>
          <w:b/>
          <w:bCs/>
          <w:sz w:val="21"/>
        </w:rPr>
        <w:t>投标人在评标过程中所进行的试图影响评标结果的不公正活动，可能导致其投标按无效处理。</w:t>
      </w:r>
    </w:p>
    <w:p w14:paraId="4D4FCAFF">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29.评标方法及评标标准</w:t>
      </w:r>
    </w:p>
    <w:p w14:paraId="18EAAB23">
      <w:pPr>
        <w:pStyle w:val="15"/>
        <w:snapToGrid w:val="0"/>
        <w:spacing w:line="360" w:lineRule="auto"/>
        <w:ind w:firstLine="420" w:firstLineChars="200"/>
        <w:rPr>
          <w:rFonts w:hAnsi="宋体"/>
          <w:sz w:val="21"/>
        </w:rPr>
      </w:pPr>
      <w:r>
        <w:rPr>
          <w:rFonts w:hint="eastAsia" w:hAnsi="宋体"/>
          <w:sz w:val="21"/>
        </w:rPr>
        <w:t>29.1本项目的评标方法详见“投标人须知前附表”。</w:t>
      </w:r>
    </w:p>
    <w:p w14:paraId="685C5CCB">
      <w:pPr>
        <w:pStyle w:val="15"/>
        <w:snapToGrid w:val="0"/>
        <w:spacing w:line="360" w:lineRule="auto"/>
        <w:ind w:firstLine="420" w:firstLineChars="200"/>
        <w:rPr>
          <w:rFonts w:hAnsi="宋体"/>
          <w:sz w:val="21"/>
        </w:rPr>
      </w:pPr>
      <w:r>
        <w:rPr>
          <w:rFonts w:hint="eastAsia" w:hAnsi="宋体"/>
          <w:sz w:val="21"/>
        </w:rPr>
        <w:t>29.2 商务/技术需求允许负偏离的条款数详见“投标人须知前附表”。</w:t>
      </w:r>
    </w:p>
    <w:p w14:paraId="488F9764">
      <w:pPr>
        <w:pStyle w:val="15"/>
        <w:snapToGrid w:val="0"/>
        <w:spacing w:line="360" w:lineRule="auto"/>
        <w:ind w:firstLine="420" w:firstLineChars="200"/>
        <w:rPr>
          <w:rFonts w:hAnsi="宋体"/>
          <w:sz w:val="21"/>
        </w:rPr>
      </w:pPr>
      <w:r>
        <w:rPr>
          <w:rFonts w:hint="eastAsia" w:hAnsi="宋体"/>
          <w:sz w:val="21"/>
        </w:rPr>
        <w:t>29.3 中标候选人推荐数量详见“投标人须知前附表”。</w:t>
      </w:r>
    </w:p>
    <w:p w14:paraId="6A93C229">
      <w:pPr>
        <w:pStyle w:val="15"/>
        <w:snapToGrid w:val="0"/>
        <w:spacing w:line="360" w:lineRule="auto"/>
        <w:ind w:firstLine="420" w:firstLineChars="200"/>
        <w:rPr>
          <w:rFonts w:hAnsi="宋体"/>
          <w:sz w:val="21"/>
        </w:rPr>
      </w:pPr>
      <w:r>
        <w:rPr>
          <w:rFonts w:hint="eastAsia" w:hAnsi="宋体"/>
          <w:sz w:val="21"/>
        </w:rPr>
        <w:t>29.4 电子交易活动的中止。采购过程中出现以下情形，导致电子交易平台无法正常运行，或者无法保证电子交易的公平、公正和安全时，采购代理机构可以中止电子交易活动：</w:t>
      </w:r>
    </w:p>
    <w:p w14:paraId="1149AA57">
      <w:pPr>
        <w:pStyle w:val="15"/>
        <w:snapToGrid w:val="0"/>
        <w:spacing w:line="360" w:lineRule="auto"/>
        <w:ind w:firstLine="420" w:firstLineChars="200"/>
        <w:rPr>
          <w:rFonts w:hAnsi="宋体"/>
          <w:sz w:val="21"/>
        </w:rPr>
      </w:pPr>
      <w:r>
        <w:rPr>
          <w:rFonts w:hint="eastAsia" w:hAnsi="宋体"/>
          <w:sz w:val="21"/>
        </w:rPr>
        <w:t xml:space="preserve">（1）电子交易平台发生故障而无法登录访问的； </w:t>
      </w:r>
    </w:p>
    <w:p w14:paraId="275FA638">
      <w:pPr>
        <w:pStyle w:val="15"/>
        <w:snapToGrid w:val="0"/>
        <w:spacing w:line="360" w:lineRule="auto"/>
        <w:ind w:firstLine="420" w:firstLineChars="200"/>
        <w:rPr>
          <w:rFonts w:hAnsi="宋体"/>
          <w:sz w:val="21"/>
        </w:rPr>
      </w:pPr>
      <w:r>
        <w:rPr>
          <w:rFonts w:hint="eastAsia" w:hAnsi="宋体"/>
          <w:sz w:val="21"/>
        </w:rPr>
        <w:t>（2）电子交易平台应用或数据库出现错误，不能进行正常操作的；</w:t>
      </w:r>
    </w:p>
    <w:p w14:paraId="55817464">
      <w:pPr>
        <w:pStyle w:val="15"/>
        <w:snapToGrid w:val="0"/>
        <w:spacing w:line="360" w:lineRule="auto"/>
        <w:ind w:firstLine="420" w:firstLineChars="200"/>
        <w:rPr>
          <w:rFonts w:hAnsi="宋体"/>
          <w:sz w:val="21"/>
        </w:rPr>
      </w:pPr>
      <w:r>
        <w:rPr>
          <w:rFonts w:hint="eastAsia" w:hAnsi="宋体"/>
          <w:sz w:val="21"/>
        </w:rPr>
        <w:t>（3）电子交易平台发现严重安全漏洞，有潜在泄密危险的；</w:t>
      </w:r>
    </w:p>
    <w:p w14:paraId="1DB6328B">
      <w:pPr>
        <w:pStyle w:val="15"/>
        <w:snapToGrid w:val="0"/>
        <w:spacing w:line="360" w:lineRule="auto"/>
        <w:ind w:firstLine="420" w:firstLineChars="200"/>
        <w:rPr>
          <w:rFonts w:hAnsi="宋体"/>
          <w:sz w:val="21"/>
        </w:rPr>
      </w:pPr>
      <w:r>
        <w:rPr>
          <w:rFonts w:hint="eastAsia" w:hAnsi="宋体"/>
          <w:sz w:val="21"/>
        </w:rPr>
        <w:t xml:space="preserve">（4）病毒发作导致不能进行正常操作的； </w:t>
      </w:r>
    </w:p>
    <w:p w14:paraId="64D7D638">
      <w:pPr>
        <w:pStyle w:val="15"/>
        <w:snapToGrid w:val="0"/>
        <w:spacing w:line="360" w:lineRule="auto"/>
        <w:ind w:firstLine="420" w:firstLineChars="200"/>
        <w:rPr>
          <w:rFonts w:hAnsi="宋体"/>
          <w:sz w:val="21"/>
        </w:rPr>
      </w:pPr>
      <w:r>
        <w:rPr>
          <w:rFonts w:hint="eastAsia" w:hAnsi="宋体"/>
          <w:sz w:val="21"/>
        </w:rPr>
        <w:t>（5）其他无法保证电子交易的公平、公正和安全的情况。</w:t>
      </w:r>
    </w:p>
    <w:p w14:paraId="5E4DFC5C">
      <w:pPr>
        <w:pStyle w:val="15"/>
        <w:snapToGrid w:val="0"/>
        <w:spacing w:line="360" w:lineRule="auto"/>
        <w:ind w:firstLine="420" w:firstLineChars="200"/>
        <w:rPr>
          <w:rFonts w:hAnsi="宋体"/>
          <w:sz w:val="21"/>
        </w:rPr>
      </w:pPr>
      <w:r>
        <w:rPr>
          <w:rFonts w:hint="eastAsia" w:hAnsi="宋体"/>
          <w:sz w:val="21"/>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17727079">
      <w:pPr>
        <w:pStyle w:val="15"/>
        <w:snapToGrid w:val="0"/>
        <w:spacing w:line="360" w:lineRule="auto"/>
        <w:rPr>
          <w:rFonts w:hAnsi="宋体"/>
          <w:sz w:val="21"/>
        </w:rPr>
      </w:pPr>
    </w:p>
    <w:p w14:paraId="41EE5EF6">
      <w:pPr>
        <w:pStyle w:val="5"/>
        <w:keepNext w:val="0"/>
        <w:keepLines w:val="0"/>
        <w:jc w:val="center"/>
      </w:pPr>
      <w:bookmarkStart w:id="124" w:name="_Toc254970687"/>
      <w:bookmarkStart w:id="125" w:name="_Toc254970546"/>
      <w:r>
        <w:rPr>
          <w:rFonts w:hint="eastAsia"/>
        </w:rPr>
        <w:t>七、</w:t>
      </w:r>
      <w:bookmarkEnd w:id="124"/>
      <w:bookmarkEnd w:id="125"/>
      <w:r>
        <w:rPr>
          <w:rFonts w:hint="eastAsia"/>
        </w:rPr>
        <w:t>中标和合同</w:t>
      </w:r>
    </w:p>
    <w:p w14:paraId="48291FB5">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30.确定中标人</w:t>
      </w:r>
    </w:p>
    <w:p w14:paraId="68C7A91C">
      <w:pPr>
        <w:pStyle w:val="7"/>
        <w:keepNext w:val="0"/>
        <w:keepLines w:val="0"/>
        <w:numPr>
          <w:ilvl w:val="0"/>
          <w:numId w:val="0"/>
        </w:numPr>
        <w:spacing w:before="0" w:after="0" w:line="360" w:lineRule="auto"/>
        <w:ind w:firstLine="420" w:firstLineChars="200"/>
        <w:rPr>
          <w:rFonts w:ascii="宋体" w:hAnsi="宋体"/>
          <w:b w:val="0"/>
          <w:bCs/>
          <w:sz w:val="21"/>
          <w:szCs w:val="21"/>
        </w:rPr>
      </w:pPr>
      <w:r>
        <w:rPr>
          <w:rFonts w:hint="eastAsia" w:ascii="宋体" w:hAnsi="宋体"/>
          <w:b w:val="0"/>
          <w:bCs/>
          <w:sz w:val="21"/>
          <w:szCs w:val="21"/>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3CA30619">
      <w:pPr>
        <w:pStyle w:val="7"/>
        <w:keepNext w:val="0"/>
        <w:keepLines w:val="0"/>
        <w:numPr>
          <w:ilvl w:val="0"/>
          <w:numId w:val="0"/>
        </w:numPr>
        <w:spacing w:before="0" w:after="0" w:line="360" w:lineRule="auto"/>
        <w:ind w:firstLine="420" w:firstLineChars="200"/>
        <w:rPr>
          <w:rFonts w:ascii="宋体" w:hAnsi="宋体"/>
          <w:b w:val="0"/>
          <w:bCs/>
          <w:sz w:val="21"/>
          <w:szCs w:val="21"/>
        </w:rPr>
      </w:pPr>
      <w:r>
        <w:rPr>
          <w:rFonts w:hint="eastAsia" w:ascii="宋体" w:hAnsi="宋体"/>
          <w:b w:val="0"/>
          <w:bCs/>
          <w:sz w:val="21"/>
          <w:szCs w:val="21"/>
        </w:rPr>
        <w:t>30.2采购人在收到评标报告5个工作日内未按评标报告推荐的中标候选人顺序确定中标人，又不能说明合法理由的，视同按评标报告推荐的顺序确定排名第一的中标候选人为中标人。</w:t>
      </w:r>
    </w:p>
    <w:p w14:paraId="620FD9E1">
      <w:pPr>
        <w:pStyle w:val="7"/>
        <w:keepNext w:val="0"/>
        <w:keepLines w:val="0"/>
        <w:numPr>
          <w:ilvl w:val="0"/>
          <w:numId w:val="0"/>
        </w:numPr>
        <w:spacing w:before="0" w:after="0" w:line="360" w:lineRule="auto"/>
        <w:ind w:firstLine="420" w:firstLineChars="200"/>
        <w:rPr>
          <w:rFonts w:ascii="宋体" w:hAnsi="宋体"/>
          <w:b w:val="0"/>
          <w:bCs/>
          <w:sz w:val="21"/>
          <w:szCs w:val="21"/>
        </w:rPr>
      </w:pPr>
      <w:r>
        <w:rPr>
          <w:rFonts w:hint="eastAsia" w:ascii="宋体" w:hAnsi="宋体"/>
          <w:b w:val="0"/>
          <w:bCs/>
          <w:sz w:val="21"/>
          <w:szCs w:val="21"/>
        </w:rPr>
        <w:t>30.3出现下列情形之一的，应予废标：</w:t>
      </w:r>
    </w:p>
    <w:p w14:paraId="125589D8">
      <w:pPr>
        <w:pStyle w:val="7"/>
        <w:keepNext w:val="0"/>
        <w:keepLines w:val="0"/>
        <w:spacing w:before="0" w:after="0" w:line="360" w:lineRule="auto"/>
        <w:ind w:left="420" w:leftChars="200"/>
        <w:rPr>
          <w:rFonts w:ascii="宋体" w:hAnsi="宋体"/>
          <w:b w:val="0"/>
          <w:bCs/>
          <w:sz w:val="21"/>
          <w:szCs w:val="21"/>
        </w:rPr>
      </w:pPr>
      <w:r>
        <w:rPr>
          <w:rFonts w:hint="eastAsia" w:ascii="宋体" w:hAnsi="宋体"/>
          <w:b w:val="0"/>
          <w:bCs/>
          <w:sz w:val="21"/>
          <w:szCs w:val="21"/>
        </w:rPr>
        <w:t>（1）符合专业条件的供应商或者对招标文件作实质响应的供应商不足三家的；</w:t>
      </w:r>
    </w:p>
    <w:p w14:paraId="3AF5B558">
      <w:pPr>
        <w:pStyle w:val="7"/>
        <w:keepNext w:val="0"/>
        <w:keepLines w:val="0"/>
        <w:spacing w:before="0" w:after="0" w:line="360" w:lineRule="auto"/>
        <w:ind w:left="420" w:leftChars="200"/>
        <w:rPr>
          <w:rFonts w:ascii="宋体" w:hAnsi="宋体"/>
          <w:b w:val="0"/>
          <w:bCs/>
          <w:sz w:val="21"/>
          <w:szCs w:val="21"/>
        </w:rPr>
      </w:pPr>
      <w:r>
        <w:rPr>
          <w:rFonts w:hint="eastAsia" w:ascii="宋体" w:hAnsi="宋体"/>
          <w:b w:val="0"/>
          <w:bCs/>
          <w:sz w:val="21"/>
          <w:szCs w:val="21"/>
        </w:rPr>
        <w:t>（2）出现影响采购公正的违法、违规行为的；</w:t>
      </w:r>
    </w:p>
    <w:p w14:paraId="24627BA0">
      <w:pPr>
        <w:pStyle w:val="7"/>
        <w:keepNext w:val="0"/>
        <w:keepLines w:val="0"/>
        <w:spacing w:before="0" w:after="0" w:line="360" w:lineRule="auto"/>
        <w:ind w:left="420" w:leftChars="200"/>
        <w:rPr>
          <w:rFonts w:ascii="宋体" w:hAnsi="宋体"/>
          <w:b w:val="0"/>
          <w:bCs/>
          <w:sz w:val="21"/>
          <w:szCs w:val="21"/>
        </w:rPr>
      </w:pPr>
      <w:r>
        <w:rPr>
          <w:rFonts w:hint="eastAsia" w:ascii="宋体" w:hAnsi="宋体"/>
          <w:b w:val="0"/>
          <w:bCs/>
          <w:sz w:val="21"/>
          <w:szCs w:val="21"/>
        </w:rPr>
        <w:t>（3）投标人的报价均超过了采购预算，采购人不能支付的；</w:t>
      </w:r>
    </w:p>
    <w:p w14:paraId="73CD98FC">
      <w:pPr>
        <w:pStyle w:val="7"/>
        <w:keepNext w:val="0"/>
        <w:keepLines w:val="0"/>
        <w:spacing w:before="0" w:after="0" w:line="360" w:lineRule="auto"/>
        <w:ind w:left="420" w:leftChars="200"/>
        <w:rPr>
          <w:rFonts w:ascii="宋体" w:hAnsi="宋体"/>
          <w:b w:val="0"/>
          <w:bCs/>
          <w:sz w:val="21"/>
          <w:szCs w:val="21"/>
        </w:rPr>
      </w:pPr>
      <w:r>
        <w:rPr>
          <w:rFonts w:hint="eastAsia" w:ascii="宋体" w:hAnsi="宋体"/>
          <w:b w:val="0"/>
          <w:bCs/>
          <w:sz w:val="21"/>
          <w:szCs w:val="21"/>
        </w:rPr>
        <w:t>（4）因重大变故，采购任务取消的。</w:t>
      </w:r>
    </w:p>
    <w:p w14:paraId="7239E6B0">
      <w:pPr>
        <w:pStyle w:val="7"/>
        <w:keepNext w:val="0"/>
        <w:keepLines w:val="0"/>
        <w:spacing w:before="0" w:after="0" w:line="360" w:lineRule="auto"/>
        <w:ind w:left="420" w:leftChars="200"/>
        <w:rPr>
          <w:rFonts w:ascii="宋体" w:hAnsi="宋体"/>
          <w:b w:val="0"/>
          <w:bCs/>
          <w:sz w:val="21"/>
          <w:szCs w:val="21"/>
        </w:rPr>
      </w:pPr>
      <w:r>
        <w:rPr>
          <w:rFonts w:hint="eastAsia" w:ascii="宋体" w:hAnsi="宋体"/>
          <w:b w:val="0"/>
          <w:bCs/>
          <w:sz w:val="21"/>
          <w:szCs w:val="21"/>
        </w:rPr>
        <w:t>废标后，采购人应当将废标理由通知所有投标人。</w:t>
      </w:r>
    </w:p>
    <w:p w14:paraId="402493B1">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31.结果公告</w:t>
      </w:r>
    </w:p>
    <w:p w14:paraId="0FBE2B14">
      <w:pPr>
        <w:spacing w:line="360" w:lineRule="auto"/>
        <w:ind w:firstLine="420" w:firstLineChars="200"/>
        <w:rPr>
          <w:rFonts w:ascii="宋体" w:hAnsi="宋体"/>
          <w:bCs/>
          <w:szCs w:val="21"/>
        </w:rPr>
      </w:pPr>
      <w:r>
        <w:rPr>
          <w:rFonts w:hint="eastAsia" w:ascii="宋体" w:hAnsi="宋体"/>
          <w:bCs/>
          <w:szCs w:val="21"/>
        </w:rPr>
        <w:t>31.1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62DB99C6">
      <w:pPr>
        <w:spacing w:line="360" w:lineRule="auto"/>
        <w:ind w:firstLine="420" w:firstLineChars="200"/>
        <w:rPr>
          <w:rFonts w:ascii="宋体" w:hAnsi="宋体"/>
          <w:bCs/>
          <w:szCs w:val="21"/>
        </w:rPr>
      </w:pPr>
      <w:r>
        <w:rPr>
          <w:rFonts w:hint="eastAsia" w:ascii="宋体" w:hAnsi="宋体"/>
          <w:bCs/>
          <w:szCs w:val="21"/>
        </w:rPr>
        <w:t>以上信息查询记录及相关证据与采购文件一并保存。</w:t>
      </w:r>
    </w:p>
    <w:p w14:paraId="3488BAE2">
      <w:pPr>
        <w:spacing w:line="360" w:lineRule="auto"/>
        <w:ind w:firstLine="420" w:firstLineChars="200"/>
        <w:rPr>
          <w:rFonts w:ascii="宋体" w:hAnsi="宋体"/>
          <w:bCs/>
          <w:szCs w:val="21"/>
        </w:rPr>
      </w:pPr>
      <w:r>
        <w:rPr>
          <w:rFonts w:hint="eastAsia" w:ascii="宋体" w:hAnsi="宋体"/>
          <w:bCs/>
          <w:szCs w:val="21"/>
        </w:rPr>
        <w:t>31.2中标供应商享受《政府采购促进中小企业发展管理办法》（财库〔2020〕46号）规定的中小企业扶持政策的，采购人、采购代理机构应当随中标结果公开中标供应商的《中小企业声明函》。</w:t>
      </w:r>
    </w:p>
    <w:p w14:paraId="163B9677">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32.发出中标通知书</w:t>
      </w:r>
    </w:p>
    <w:p w14:paraId="46EE2985">
      <w:pPr>
        <w:pStyle w:val="7"/>
        <w:keepNext w:val="0"/>
        <w:keepLines w:val="0"/>
        <w:spacing w:before="0" w:after="0" w:line="360" w:lineRule="auto"/>
        <w:ind w:firstLine="420" w:firstLineChars="200"/>
        <w:rPr>
          <w:rFonts w:ascii="宋体" w:hAnsi="宋体"/>
          <w:b w:val="0"/>
          <w:sz w:val="21"/>
          <w:szCs w:val="21"/>
        </w:rPr>
      </w:pPr>
      <w:r>
        <w:rPr>
          <w:rFonts w:hint="eastAsia" w:ascii="宋体" w:hAnsi="宋体"/>
          <w:b w:val="0"/>
          <w:sz w:val="21"/>
          <w:szCs w:val="21"/>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0E73AFB8">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33.无义务解释未中标原因</w:t>
      </w:r>
    </w:p>
    <w:p w14:paraId="30108915">
      <w:pPr>
        <w:pStyle w:val="7"/>
        <w:keepNext w:val="0"/>
        <w:keepLines w:val="0"/>
        <w:spacing w:before="0" w:after="0" w:line="360" w:lineRule="auto"/>
        <w:ind w:left="420" w:leftChars="200"/>
        <w:rPr>
          <w:rFonts w:ascii="宋体" w:hAnsi="宋体"/>
          <w:b w:val="0"/>
          <w:sz w:val="21"/>
          <w:szCs w:val="21"/>
        </w:rPr>
      </w:pPr>
      <w:r>
        <w:rPr>
          <w:rFonts w:hint="eastAsia" w:ascii="宋体" w:hAnsi="宋体"/>
          <w:b w:val="0"/>
          <w:sz w:val="21"/>
          <w:szCs w:val="21"/>
        </w:rPr>
        <w:t>采购代理机构无义务向未中标的投标人解释未中标原因和退还投标文件。</w:t>
      </w:r>
    </w:p>
    <w:p w14:paraId="3D37B6E2">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34.合同授予标准</w:t>
      </w:r>
    </w:p>
    <w:p w14:paraId="4409A13C">
      <w:pPr>
        <w:snapToGrid w:val="0"/>
        <w:spacing w:line="360" w:lineRule="auto"/>
        <w:ind w:firstLine="420" w:firstLineChars="200"/>
        <w:rPr>
          <w:rFonts w:ascii="宋体" w:hAnsi="宋体"/>
          <w:szCs w:val="21"/>
        </w:rPr>
      </w:pPr>
      <w:r>
        <w:rPr>
          <w:rFonts w:hint="eastAsia" w:ascii="宋体" w:hAnsi="宋体"/>
          <w:szCs w:val="21"/>
        </w:rPr>
        <w:t>合同将授予被确定实质上响应招标文件要求，具备履行合同能力的中标人。</w:t>
      </w:r>
    </w:p>
    <w:p w14:paraId="576BF01A">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35.履约保证金</w:t>
      </w:r>
    </w:p>
    <w:p w14:paraId="529A2E56">
      <w:pPr>
        <w:pStyle w:val="7"/>
        <w:keepNext w:val="0"/>
        <w:keepLines w:val="0"/>
        <w:spacing w:before="0" w:after="0" w:line="360" w:lineRule="auto"/>
        <w:ind w:firstLine="420" w:firstLineChars="200"/>
        <w:rPr>
          <w:rFonts w:ascii="宋体" w:hAnsi="宋体"/>
          <w:b w:val="0"/>
          <w:bCs/>
          <w:sz w:val="21"/>
          <w:szCs w:val="21"/>
        </w:rPr>
      </w:pPr>
      <w:bookmarkStart w:id="126" w:name="_39.1中标人须于签订合同前按本须知前附表规定的金额转账或电汇到指定账"/>
      <w:bookmarkEnd w:id="126"/>
      <w:r>
        <w:rPr>
          <w:rFonts w:hint="eastAsia" w:ascii="宋体" w:hAnsi="宋体"/>
          <w:b w:val="0"/>
          <w:bCs/>
          <w:sz w:val="21"/>
          <w:szCs w:val="21"/>
        </w:rPr>
        <w:t>35.1 履约保证金的金额、提交方式、退付的时间和条件详见 “投标人须知前附表”。中标人未按规定提交履约保证金的，视为拒绝与采购人签订合同。</w:t>
      </w:r>
    </w:p>
    <w:p w14:paraId="53278828">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bCs/>
          <w:sz w:val="21"/>
          <w:szCs w:val="21"/>
        </w:rPr>
        <w:t xml:space="preserve"> 35.2在履约保证金退还日期前，若中标人的开户名称、开户银行、账号有变动的，请以书面形式通知履约保证金收取单位，否则由此产生的后果由中标人自行承担。</w:t>
      </w:r>
    </w:p>
    <w:p w14:paraId="23F2F21D">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36.签订合同</w:t>
      </w:r>
    </w:p>
    <w:p w14:paraId="6E7273D0">
      <w:pPr>
        <w:pStyle w:val="7"/>
        <w:keepNext w:val="0"/>
        <w:keepLines w:val="0"/>
        <w:spacing w:before="0" w:after="0" w:line="360" w:lineRule="auto"/>
        <w:ind w:firstLine="420" w:firstLineChars="200"/>
        <w:rPr>
          <w:rFonts w:ascii="宋体" w:hAnsi="宋体"/>
          <w:b w:val="0"/>
          <w:bCs/>
          <w:sz w:val="21"/>
          <w:szCs w:val="21"/>
        </w:rPr>
      </w:pPr>
      <w:bookmarkStart w:id="127" w:name="_40.1投标人接到中标通知书后，按须知前附表规定向采购人出示相关资格证"/>
      <w:bookmarkEnd w:id="127"/>
      <w:r>
        <w:rPr>
          <w:rFonts w:hint="eastAsia" w:ascii="宋体" w:hAnsi="宋体"/>
          <w:b w:val="0"/>
          <w:bCs/>
          <w:sz w:val="21"/>
          <w:szCs w:val="21"/>
        </w:rPr>
        <w:t>36.1签订电子采购合同：中标人领取电子中标通知书后，在规定的日期、时间、地点，由法定代表人或其授权代表与采购人代表签订电子采购合同。如中标人为联合体的，由联合体成员各方法定代表人或其授权代表与采购人代表签订合同。</w:t>
      </w:r>
    </w:p>
    <w:p w14:paraId="2BA9C343">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bCs/>
          <w:sz w:val="21"/>
          <w:szCs w:val="21"/>
        </w:rPr>
        <w:t>线下签订纸质合同：投标人领取中标通知书后，按“投标人须知前附表”规定向采购人出示相关证明材料，经采购人核验合格后方可签订合同。</w:t>
      </w:r>
    </w:p>
    <w:p w14:paraId="5A465567">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bCs/>
          <w:sz w:val="21"/>
          <w:szCs w:val="21"/>
        </w:rPr>
        <w:t>36.2签订合同时间：按中标通知书规定的时间与采购人签订合同。</w:t>
      </w:r>
    </w:p>
    <w:p w14:paraId="6BEC3B3A">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bCs/>
          <w:sz w:val="21"/>
          <w:szCs w:val="21"/>
        </w:rPr>
        <w:t>36.3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615F6F99">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bCs/>
          <w:sz w:val="21"/>
          <w:szCs w:val="21"/>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11E9824">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bCs/>
          <w:sz w:val="21"/>
          <w:szCs w:val="21"/>
        </w:rPr>
        <w:t>36.5采购人或中标供应商不得单方面向合同另一方提出任何招标文件没有约定的条件或不合理的要求，作为签订合同的条件；也不得协商另行订立背离招标文件和合同实质性内容的协议。</w:t>
      </w:r>
    </w:p>
    <w:p w14:paraId="7A10492C">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bCs/>
          <w:sz w:val="21"/>
          <w:szCs w:val="21"/>
        </w:rPr>
        <w:t>36.6如签订合同并生效后，供应商无故拒绝或延期，除按照合同条款处理外，将承担相应的法律责任。</w:t>
      </w:r>
    </w:p>
    <w:p w14:paraId="05CACC92">
      <w:pPr>
        <w:pStyle w:val="7"/>
        <w:keepNext w:val="0"/>
        <w:keepLines w:val="0"/>
        <w:spacing w:before="0" w:after="0" w:line="360" w:lineRule="auto"/>
        <w:ind w:firstLine="420" w:firstLineChars="200"/>
        <w:rPr>
          <w:rFonts w:ascii="宋体" w:hAnsi="宋体"/>
          <w:b w:val="0"/>
          <w:bCs/>
          <w:sz w:val="21"/>
          <w:szCs w:val="21"/>
        </w:rPr>
      </w:pPr>
      <w:r>
        <w:rPr>
          <w:rFonts w:hint="eastAsia" w:ascii="宋体" w:hAnsi="宋体"/>
          <w:b w:val="0"/>
          <w:bCs/>
          <w:sz w:val="21"/>
          <w:szCs w:val="21"/>
        </w:rPr>
        <w:t>36.7政府采购合同履行中，采购人需追加与合同标的相同的货物、工程或者服务的，在不改变合同其他条款的前提下，可以与供应商协商签订补充合同，但所有补充合同的采购金额不得超过原合同采购金额的10%。</w:t>
      </w:r>
    </w:p>
    <w:p w14:paraId="5C8B4F8D">
      <w:pPr>
        <w:pStyle w:val="7"/>
        <w:keepNext w:val="0"/>
        <w:keepLines w:val="0"/>
        <w:spacing w:before="0" w:after="0" w:line="360" w:lineRule="auto"/>
        <w:ind w:left="420" w:leftChars="200"/>
        <w:rPr>
          <w:rFonts w:ascii="黑体" w:hAnsi="黑体" w:eastAsia="黑体"/>
          <w:sz w:val="24"/>
        </w:rPr>
      </w:pPr>
      <w:bookmarkStart w:id="128" w:name="_41.政府采购合同公告"/>
      <w:bookmarkEnd w:id="128"/>
      <w:r>
        <w:rPr>
          <w:rFonts w:hint="eastAsia" w:ascii="黑体" w:hAnsi="黑体" w:eastAsia="黑体"/>
          <w:sz w:val="24"/>
        </w:rPr>
        <w:t>37.政府采购合同公告</w:t>
      </w:r>
    </w:p>
    <w:p w14:paraId="508AF9EB">
      <w:pPr>
        <w:spacing w:line="360" w:lineRule="auto"/>
        <w:ind w:firstLine="420" w:firstLineChars="200"/>
        <w:rPr>
          <w:rFonts w:hAnsi="宋体"/>
        </w:rPr>
      </w:pPr>
      <w:r>
        <w:rPr>
          <w:rFonts w:hint="eastAsia" w:hAnsi="宋体"/>
        </w:rPr>
        <w:t>采购人或者受托采购代理机构应当自政府采购合同签订之日起2个工作日内，将政府采购合同在省级以上人民政府财政部门指定的媒体上公告，但政府采购合同中涉及国家秘密、商业秘密的内容除外。</w:t>
      </w:r>
    </w:p>
    <w:p w14:paraId="7D6DC10D">
      <w:pPr>
        <w:pStyle w:val="7"/>
        <w:keepNext w:val="0"/>
        <w:keepLines w:val="0"/>
        <w:spacing w:before="0" w:after="0" w:line="360" w:lineRule="auto"/>
        <w:ind w:left="420" w:leftChars="200"/>
        <w:rPr>
          <w:rFonts w:ascii="黑体" w:hAnsi="黑体" w:eastAsia="黑体"/>
          <w:sz w:val="24"/>
        </w:rPr>
      </w:pPr>
      <w:r>
        <w:rPr>
          <w:rFonts w:hint="eastAsia" w:ascii="黑体" w:hAnsi="黑体" w:eastAsia="黑体"/>
          <w:sz w:val="24"/>
        </w:rPr>
        <w:t>3</w:t>
      </w:r>
      <w:r>
        <w:rPr>
          <w:rFonts w:ascii="黑体" w:hAnsi="黑体" w:eastAsia="黑体"/>
          <w:sz w:val="24"/>
        </w:rPr>
        <w:t>8.</w:t>
      </w:r>
      <w:r>
        <w:rPr>
          <w:rFonts w:hint="eastAsia" w:ascii="黑体" w:hAnsi="黑体" w:eastAsia="黑体"/>
          <w:sz w:val="24"/>
        </w:rPr>
        <w:t>询问、质疑和投诉</w:t>
      </w:r>
    </w:p>
    <w:p w14:paraId="079B6185">
      <w:pPr>
        <w:spacing w:line="360" w:lineRule="auto"/>
        <w:ind w:firstLine="420" w:firstLineChars="200"/>
        <w:rPr>
          <w:rFonts w:ascii="宋体" w:hAnsi="宋体" w:cs="宋体"/>
        </w:rPr>
      </w:pPr>
      <w:r>
        <w:rPr>
          <w:rFonts w:hint="eastAsia" w:ascii="宋体" w:hAnsi="宋体" w:cs="宋体"/>
        </w:rPr>
        <w:t>38.1供应商对政府采购活动事项有疑问的，可以向采购人提出询问，采购人或者采购代理机构应当在3个工作日内对供应商依法提出的询问作出答复，但答复的内容不得涉及商业秘密。</w:t>
      </w:r>
    </w:p>
    <w:p w14:paraId="28610921">
      <w:pPr>
        <w:spacing w:line="360" w:lineRule="auto"/>
        <w:ind w:firstLine="420" w:firstLineChars="200"/>
        <w:rPr>
          <w:rFonts w:ascii="宋体" w:hAnsi="宋体" w:cs="宋体"/>
        </w:rPr>
      </w:pPr>
      <w:r>
        <w:rPr>
          <w:rFonts w:hint="eastAsia" w:ascii="宋体" w:hAnsi="宋体" w:cs="宋体"/>
        </w:rPr>
        <w:t xml:space="preserve">38.2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1CC21A2B">
      <w:pPr>
        <w:spacing w:line="360" w:lineRule="auto"/>
        <w:ind w:firstLine="420" w:firstLineChars="200"/>
        <w:rPr>
          <w:rFonts w:ascii="宋体" w:hAnsi="宋体" w:cs="宋体"/>
        </w:rPr>
      </w:pPr>
      <w:r>
        <w:rPr>
          <w:rFonts w:hint="eastAsia" w:ascii="宋体" w:hAnsi="宋体" w:cs="宋体"/>
        </w:rPr>
        <w:t>（1）对可以质疑的招标文件提出质疑的，为收到招标文件之日或者招标文件公告期限届满之日；</w:t>
      </w:r>
    </w:p>
    <w:p w14:paraId="385B88C2">
      <w:pPr>
        <w:spacing w:line="360" w:lineRule="auto"/>
        <w:ind w:firstLine="420" w:firstLineChars="200"/>
        <w:rPr>
          <w:rFonts w:ascii="宋体" w:hAnsi="宋体" w:cs="宋体"/>
        </w:rPr>
      </w:pPr>
      <w:r>
        <w:rPr>
          <w:rFonts w:hint="eastAsia" w:ascii="宋体" w:hAnsi="宋体" w:cs="宋体"/>
        </w:rPr>
        <w:t>（2）对采购过程提出质疑的，为各采购程序环节结束之日；</w:t>
      </w:r>
    </w:p>
    <w:p w14:paraId="6976E94B">
      <w:pPr>
        <w:spacing w:line="360" w:lineRule="auto"/>
        <w:ind w:firstLine="420" w:firstLineChars="200"/>
        <w:rPr>
          <w:rFonts w:ascii="宋体" w:hAnsi="宋体" w:cs="宋体"/>
        </w:rPr>
      </w:pPr>
      <w:r>
        <w:rPr>
          <w:rFonts w:hint="eastAsia" w:ascii="宋体" w:hAnsi="宋体" w:cs="宋体"/>
        </w:rPr>
        <w:t>（3）对中标结果提出质疑的，为中标结果公告期限届满之日。</w:t>
      </w:r>
    </w:p>
    <w:p w14:paraId="211E009F">
      <w:pPr>
        <w:spacing w:line="360" w:lineRule="auto"/>
        <w:ind w:firstLine="420" w:firstLineChars="200"/>
        <w:rPr>
          <w:rFonts w:ascii="宋体" w:hAnsi="宋体" w:cs="宋体"/>
        </w:rPr>
      </w:pPr>
      <w:r>
        <w:rPr>
          <w:rFonts w:hint="eastAsia" w:ascii="宋体" w:hAnsi="宋体" w:cs="宋体"/>
        </w:rPr>
        <w:t>38.3 供应商提出质疑应当提交质疑函和必要的证明材料，针对同一采购程序环节的质疑必须在法定质疑期内一次性提出。质疑函应当包括下列内容（质疑函格式见第六章）：</w:t>
      </w:r>
    </w:p>
    <w:p w14:paraId="293FB1C6">
      <w:pPr>
        <w:spacing w:line="360" w:lineRule="auto"/>
        <w:ind w:firstLine="420" w:firstLineChars="200"/>
        <w:rPr>
          <w:rFonts w:ascii="宋体" w:hAnsi="宋体" w:cs="宋体"/>
        </w:rPr>
      </w:pPr>
      <w:r>
        <w:rPr>
          <w:rFonts w:hint="eastAsia" w:ascii="宋体" w:hAnsi="宋体" w:cs="宋体"/>
        </w:rPr>
        <w:t>（1）供应商的姓名或者名称、地址、邮编、联系人及联系电话；</w:t>
      </w:r>
    </w:p>
    <w:p w14:paraId="659F46A9">
      <w:pPr>
        <w:spacing w:line="360" w:lineRule="auto"/>
        <w:ind w:firstLine="420" w:firstLineChars="200"/>
        <w:rPr>
          <w:rFonts w:ascii="宋体" w:hAnsi="宋体" w:cs="宋体"/>
        </w:rPr>
      </w:pPr>
      <w:r>
        <w:rPr>
          <w:rFonts w:hint="eastAsia" w:ascii="宋体" w:hAnsi="宋体" w:cs="宋体"/>
        </w:rPr>
        <w:t>（2）质疑项目的名称、编号；</w:t>
      </w:r>
    </w:p>
    <w:p w14:paraId="14A69FFB">
      <w:pPr>
        <w:spacing w:line="360" w:lineRule="auto"/>
        <w:ind w:firstLine="420" w:firstLineChars="200"/>
        <w:rPr>
          <w:rFonts w:ascii="宋体" w:hAnsi="宋体" w:cs="宋体"/>
        </w:rPr>
      </w:pPr>
      <w:r>
        <w:rPr>
          <w:rFonts w:hint="eastAsia" w:ascii="宋体" w:hAnsi="宋体" w:cs="宋体"/>
        </w:rPr>
        <w:t>（3）具体、明确的质疑事项和与质疑事项相关的请求；</w:t>
      </w:r>
    </w:p>
    <w:p w14:paraId="4D6C0D42">
      <w:pPr>
        <w:spacing w:line="360" w:lineRule="auto"/>
        <w:ind w:firstLine="420" w:firstLineChars="200"/>
        <w:rPr>
          <w:rFonts w:ascii="宋体" w:hAnsi="宋体" w:cs="宋体"/>
        </w:rPr>
      </w:pPr>
      <w:r>
        <w:rPr>
          <w:rFonts w:hint="eastAsia" w:ascii="宋体" w:hAnsi="宋体" w:cs="宋体"/>
        </w:rPr>
        <w:t>（4）事实依据；</w:t>
      </w:r>
    </w:p>
    <w:p w14:paraId="3DEC0DBA">
      <w:pPr>
        <w:spacing w:line="360" w:lineRule="auto"/>
        <w:ind w:firstLine="420" w:firstLineChars="200"/>
        <w:rPr>
          <w:rFonts w:ascii="宋体" w:hAnsi="宋体" w:cs="宋体"/>
        </w:rPr>
      </w:pPr>
      <w:r>
        <w:rPr>
          <w:rFonts w:hint="eastAsia" w:ascii="宋体" w:hAnsi="宋体" w:cs="宋体"/>
        </w:rPr>
        <w:t>（5）必要的法律依据；</w:t>
      </w:r>
    </w:p>
    <w:p w14:paraId="7DA62E2D">
      <w:pPr>
        <w:spacing w:line="360" w:lineRule="auto"/>
        <w:ind w:firstLine="420" w:firstLineChars="200"/>
        <w:rPr>
          <w:rFonts w:ascii="宋体" w:hAnsi="宋体" w:cs="宋体"/>
        </w:rPr>
      </w:pPr>
      <w:r>
        <w:rPr>
          <w:rFonts w:hint="eastAsia" w:ascii="宋体" w:hAnsi="宋体" w:cs="宋体"/>
        </w:rPr>
        <w:t>（6）提出质疑的日期。</w:t>
      </w:r>
    </w:p>
    <w:p w14:paraId="3F1804E8">
      <w:pPr>
        <w:spacing w:line="360" w:lineRule="auto"/>
        <w:ind w:firstLine="420" w:firstLineChars="200"/>
        <w:rPr>
          <w:rFonts w:ascii="宋体" w:hAnsi="宋体" w:cs="宋体"/>
        </w:rPr>
      </w:pPr>
      <w:r>
        <w:rPr>
          <w:rFonts w:hint="eastAsia" w:ascii="宋体" w:hAnsi="宋体" w:cs="宋体"/>
        </w:rPr>
        <w:t>供应商为自然人的，应当由本人签字；供应商为法人或者其他组织的，应当由法定代表人、主要负责人，或者其委托代理人签字或者盖章，并加盖公章。</w:t>
      </w:r>
    </w:p>
    <w:p w14:paraId="2CCD4954">
      <w:pPr>
        <w:spacing w:line="360" w:lineRule="auto"/>
        <w:ind w:firstLine="420" w:firstLineChars="200"/>
        <w:rPr>
          <w:rFonts w:ascii="宋体" w:hAnsi="宋体" w:cs="宋体"/>
        </w:rPr>
      </w:pPr>
      <w:r>
        <w:rPr>
          <w:rFonts w:hint="eastAsia" w:ascii="宋体" w:hAnsi="宋体" w:cs="宋体"/>
        </w:rPr>
        <w:t>38.4采购人、采购代理机构认为供应商质疑不成立，或者成立但未对中标结果构成影响的，继续开展采购活动；认为供应商质疑成立且影响或者可能影响中标结果的，按照下列情况处理：</w:t>
      </w:r>
    </w:p>
    <w:p w14:paraId="4A061D7E">
      <w:pPr>
        <w:spacing w:line="360" w:lineRule="auto"/>
        <w:ind w:firstLine="420" w:firstLineChars="200"/>
        <w:rPr>
          <w:rFonts w:ascii="宋体" w:hAnsi="宋体" w:cs="宋体"/>
        </w:rPr>
      </w:pPr>
      <w:r>
        <w:rPr>
          <w:rFonts w:hint="eastAsia" w:ascii="宋体" w:hAnsi="宋体" w:cs="宋体"/>
        </w:rPr>
        <w:t>（一）对招标文件提出的质疑，依法通过澄清或者修改可以继续开展采购活动的，澄清或者修改招标文件后继续开展采购活动；否则应当修改招标文件后重新开展采购活动。</w:t>
      </w:r>
    </w:p>
    <w:p w14:paraId="3150BEA0">
      <w:pPr>
        <w:spacing w:line="360" w:lineRule="auto"/>
        <w:ind w:firstLine="420" w:firstLineChars="200"/>
        <w:rPr>
          <w:rFonts w:ascii="宋体" w:hAnsi="宋体" w:cs="宋体"/>
        </w:rPr>
      </w:pPr>
      <w:r>
        <w:rPr>
          <w:rFonts w:hint="eastAsia" w:ascii="宋体" w:hAnsi="宋体" w:cs="宋体"/>
        </w:rPr>
        <w:t>（二）对采购过程、中标结果提出的质疑，合格供应商符合法定数量时，可以从合格的中标候选人中另行确定中标供应商的，应当依法另行确定中标供应商；否则应当重新开展采购活动。</w:t>
      </w:r>
    </w:p>
    <w:p w14:paraId="3CB200D2">
      <w:pPr>
        <w:spacing w:line="360" w:lineRule="auto"/>
        <w:ind w:firstLine="420" w:firstLineChars="200"/>
        <w:rPr>
          <w:rFonts w:ascii="宋体" w:hAnsi="宋体" w:cs="宋体"/>
        </w:rPr>
      </w:pPr>
      <w:r>
        <w:rPr>
          <w:rFonts w:hint="eastAsia" w:ascii="宋体" w:hAnsi="宋体" w:cs="宋体"/>
        </w:rPr>
        <w:t>质疑答复导致中标结果改变的，采购人或者采购代理机构应当将有关情况书面报告本级财政部门。</w:t>
      </w:r>
    </w:p>
    <w:p w14:paraId="3675F965">
      <w:pPr>
        <w:spacing w:line="360" w:lineRule="auto"/>
        <w:ind w:firstLine="420" w:firstLineChars="200"/>
        <w:rPr>
          <w:rFonts w:ascii="宋体" w:hAnsi="宋体" w:cs="宋体"/>
        </w:rPr>
      </w:pPr>
      <w:r>
        <w:rPr>
          <w:rFonts w:hint="eastAsia" w:ascii="宋体" w:hAnsi="宋体" w:cs="宋体"/>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见第六章）。</w:t>
      </w:r>
    </w:p>
    <w:p w14:paraId="461428A7">
      <w:pPr>
        <w:pStyle w:val="5"/>
        <w:keepNext w:val="0"/>
        <w:keepLines w:val="0"/>
        <w:jc w:val="center"/>
      </w:pPr>
      <w:bookmarkStart w:id="129" w:name="_八、其他事项"/>
      <w:bookmarkEnd w:id="129"/>
      <w:r>
        <w:rPr>
          <w:rFonts w:hint="eastAsia"/>
        </w:rPr>
        <w:t>八、验收</w:t>
      </w:r>
    </w:p>
    <w:p w14:paraId="296E861F">
      <w:pPr>
        <w:spacing w:line="360" w:lineRule="auto"/>
        <w:ind w:firstLine="420" w:firstLineChars="200"/>
        <w:rPr>
          <w:rFonts w:ascii="宋体" w:hAnsi="宋体" w:cs="宋体"/>
        </w:rPr>
      </w:pPr>
      <w:r>
        <w:rPr>
          <w:rFonts w:hint="eastAsia" w:ascii="宋体" w:hAnsi="宋体" w:cs="宋体"/>
        </w:rPr>
        <w:t>39.验收</w:t>
      </w:r>
    </w:p>
    <w:p w14:paraId="5373739F">
      <w:pPr>
        <w:spacing w:line="360" w:lineRule="auto"/>
        <w:ind w:firstLine="420" w:firstLineChars="200"/>
        <w:rPr>
          <w:rFonts w:ascii="宋体" w:hAnsi="宋体" w:cs="宋体"/>
        </w:rPr>
      </w:pPr>
      <w:r>
        <w:rPr>
          <w:rFonts w:hint="eastAsia" w:ascii="宋体" w:hAnsi="宋体" w:cs="宋体"/>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4CC0C42C">
      <w:pPr>
        <w:spacing w:line="360" w:lineRule="auto"/>
        <w:ind w:firstLine="420" w:firstLineChars="200"/>
        <w:rPr>
          <w:rFonts w:ascii="宋体" w:hAnsi="宋体" w:cs="宋体"/>
        </w:rPr>
      </w:pPr>
      <w:r>
        <w:rPr>
          <w:rFonts w:hint="eastAsia" w:ascii="宋体" w:hAnsi="宋体" w:cs="宋体"/>
        </w:rPr>
        <w:t>39.2采购人可以邀请参加本项目的其他投标人或者第三方机构参与验收。参与验收的投标人或者第三方机构的意见作为验收书的参考资料一并存档。</w:t>
      </w:r>
    </w:p>
    <w:p w14:paraId="7E7AEA78">
      <w:pPr>
        <w:spacing w:line="360" w:lineRule="auto"/>
        <w:ind w:firstLine="420" w:firstLineChars="200"/>
        <w:rPr>
          <w:rFonts w:ascii="宋体" w:hAnsi="宋体" w:cs="宋体"/>
        </w:rPr>
      </w:pPr>
      <w:r>
        <w:rPr>
          <w:rFonts w:hint="eastAsia" w:ascii="宋体" w:hAnsi="宋体" w:cs="宋体"/>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B31A45E">
      <w:pPr>
        <w:spacing w:line="360" w:lineRule="auto"/>
        <w:ind w:firstLine="420" w:firstLineChars="200"/>
        <w:rPr>
          <w:rFonts w:ascii="宋体" w:hAnsi="宋体" w:cs="宋体"/>
        </w:rPr>
      </w:pPr>
      <w:r>
        <w:rPr>
          <w:rFonts w:hint="eastAsia" w:ascii="宋体" w:hAnsi="宋体" w:cs="宋体"/>
        </w:rPr>
        <w:t>39.4</w:t>
      </w:r>
      <w:r>
        <w:rPr>
          <w:rFonts w:hint="eastAsia" w:ascii="宋体" w:hAnsi="宋体" w:cs="宋体"/>
          <w:spacing w:val="-6"/>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r>
        <w:rPr>
          <w:rFonts w:hint="eastAsia" w:ascii="宋体" w:hAnsi="宋体" w:cs="宋体"/>
        </w:rPr>
        <w:t>。</w:t>
      </w:r>
    </w:p>
    <w:p w14:paraId="7C58DA60">
      <w:pPr>
        <w:pStyle w:val="5"/>
        <w:keepNext w:val="0"/>
        <w:keepLines w:val="0"/>
        <w:jc w:val="center"/>
      </w:pPr>
      <w:r>
        <w:rPr>
          <w:rFonts w:hint="eastAsia"/>
        </w:rPr>
        <w:t>九、其他事项</w:t>
      </w:r>
    </w:p>
    <w:p w14:paraId="07B2F065">
      <w:pPr>
        <w:pStyle w:val="7"/>
        <w:keepNext w:val="0"/>
        <w:keepLines w:val="0"/>
        <w:spacing w:before="0" w:after="0" w:line="360" w:lineRule="auto"/>
        <w:ind w:left="420" w:leftChars="200"/>
        <w:rPr>
          <w:rFonts w:ascii="黑体" w:hAnsi="黑体" w:eastAsia="黑体"/>
          <w:sz w:val="24"/>
        </w:rPr>
      </w:pPr>
      <w:bookmarkStart w:id="130" w:name="_42.代理服务费"/>
      <w:bookmarkEnd w:id="130"/>
      <w:r>
        <w:rPr>
          <w:rFonts w:hint="eastAsia" w:ascii="黑体" w:hAnsi="黑体" w:eastAsia="黑体"/>
          <w:sz w:val="24"/>
        </w:rPr>
        <w:t>40.代理服务费</w:t>
      </w:r>
    </w:p>
    <w:p w14:paraId="1A2BE0C1">
      <w:pPr>
        <w:pStyle w:val="7"/>
        <w:keepNext w:val="0"/>
        <w:keepLines w:val="0"/>
        <w:spacing w:before="0" w:after="0" w:line="360" w:lineRule="auto"/>
        <w:ind w:firstLine="420" w:firstLineChars="200"/>
        <w:rPr>
          <w:rFonts w:ascii="宋体" w:hAnsi="宋体"/>
          <w:b w:val="0"/>
          <w:sz w:val="21"/>
          <w:szCs w:val="21"/>
        </w:rPr>
      </w:pPr>
      <w:r>
        <w:rPr>
          <w:rFonts w:hint="eastAsia" w:ascii="宋体" w:hAnsi="宋体"/>
          <w:b w:val="0"/>
          <w:sz w:val="21"/>
          <w:szCs w:val="21"/>
        </w:rPr>
        <w:t>40.1代理服务收费标准及缴费账户详见“投标人须知前附表”，投标人为联合体的，可以由联合体中的一方或者多方共同交纳代理服务费。</w:t>
      </w:r>
    </w:p>
    <w:p w14:paraId="4E11AEA6">
      <w:pPr>
        <w:pStyle w:val="7"/>
        <w:keepNext w:val="0"/>
        <w:keepLines w:val="0"/>
        <w:numPr>
          <w:ilvl w:val="0"/>
          <w:numId w:val="0"/>
        </w:numPr>
        <w:spacing w:before="0" w:after="0" w:line="360" w:lineRule="auto"/>
        <w:ind w:firstLine="420" w:firstLineChars="200"/>
        <w:rPr>
          <w:rFonts w:ascii="宋体" w:hAnsi="宋体"/>
          <w:b w:val="0"/>
          <w:sz w:val="21"/>
          <w:szCs w:val="21"/>
        </w:rPr>
      </w:pPr>
      <w:r>
        <w:rPr>
          <w:rFonts w:hint="eastAsia" w:ascii="宋体" w:hAnsi="宋体"/>
          <w:b w:val="0"/>
          <w:sz w:val="21"/>
          <w:szCs w:val="21"/>
        </w:rPr>
        <w:t>40.2代理服务收费标准：参考“发改价格〔2015〕299号”《国家发展改革委关于进一步放开建设项目专业服务价格的通知》规定执行，以费率1.5%为基数报价，不再按差额定率累进法计算，下浮幅度为40%。</w:t>
      </w:r>
    </w:p>
    <w:p w14:paraId="709114AB">
      <w:pPr>
        <w:pStyle w:val="7"/>
        <w:keepNext w:val="0"/>
        <w:keepLines w:val="0"/>
        <w:spacing w:before="0" w:after="0" w:line="360" w:lineRule="auto"/>
        <w:ind w:left="420" w:leftChars="200"/>
        <w:rPr>
          <w:rFonts w:ascii="黑体" w:hAnsi="黑体" w:eastAsia="黑体"/>
          <w:sz w:val="24"/>
        </w:rPr>
      </w:pPr>
      <w:r>
        <w:rPr>
          <w:rFonts w:ascii="黑体" w:hAnsi="黑体" w:eastAsia="黑体"/>
          <w:sz w:val="24"/>
        </w:rPr>
        <w:t>4</w:t>
      </w:r>
      <w:r>
        <w:rPr>
          <w:rFonts w:hint="eastAsia" w:ascii="黑体" w:hAnsi="黑体" w:eastAsia="黑体"/>
          <w:sz w:val="24"/>
        </w:rPr>
        <w:t>1</w:t>
      </w:r>
      <w:r>
        <w:rPr>
          <w:rFonts w:ascii="黑体" w:hAnsi="黑体" w:eastAsia="黑体"/>
          <w:sz w:val="24"/>
        </w:rPr>
        <w:t>.需要补充的其他内容</w:t>
      </w:r>
    </w:p>
    <w:p w14:paraId="12EE5A9A">
      <w:pPr>
        <w:pStyle w:val="15"/>
        <w:snapToGrid w:val="0"/>
        <w:spacing w:before="120" w:after="120" w:line="360" w:lineRule="auto"/>
        <w:ind w:firstLine="420" w:firstLineChars="200"/>
        <w:rPr>
          <w:rFonts w:hAnsi="宋体"/>
          <w:bCs/>
          <w:kern w:val="2"/>
          <w:sz w:val="21"/>
        </w:rPr>
      </w:pPr>
      <w:r>
        <w:rPr>
          <w:rFonts w:hint="eastAsia" w:hAnsi="宋体"/>
          <w:bCs/>
          <w:kern w:val="2"/>
          <w:sz w:val="21"/>
        </w:rPr>
        <w:t>40.1本招标文件解释规则详见“投标人须知前附表”。</w:t>
      </w:r>
    </w:p>
    <w:p w14:paraId="1FC25009">
      <w:pPr>
        <w:pStyle w:val="15"/>
        <w:snapToGrid w:val="0"/>
        <w:spacing w:before="120" w:after="120" w:line="360" w:lineRule="auto"/>
        <w:ind w:firstLine="420" w:firstLineChars="200"/>
        <w:rPr>
          <w:rFonts w:hAnsi="宋体"/>
          <w:bCs/>
          <w:kern w:val="2"/>
          <w:sz w:val="21"/>
        </w:rPr>
      </w:pPr>
      <w:r>
        <w:rPr>
          <w:rFonts w:hint="eastAsia" w:hAnsi="宋体"/>
          <w:bCs/>
          <w:kern w:val="2"/>
          <w:sz w:val="21"/>
        </w:rPr>
        <w:t>40.2其他事项详见“投标人须知前附表”。</w:t>
      </w:r>
    </w:p>
    <w:p w14:paraId="315ADFD8">
      <w:pPr>
        <w:pStyle w:val="15"/>
        <w:snapToGrid w:val="0"/>
        <w:spacing w:before="120" w:after="120" w:line="360" w:lineRule="auto"/>
        <w:ind w:firstLine="420" w:firstLineChars="200"/>
        <w:rPr>
          <w:rFonts w:hAnsi="宋体"/>
          <w:bCs/>
          <w:kern w:val="2"/>
          <w:sz w:val="21"/>
        </w:rPr>
      </w:pPr>
      <w:r>
        <w:rPr>
          <w:rFonts w:hint="eastAsia" w:hAnsi="宋体"/>
          <w:bCs/>
          <w:kern w:val="2"/>
          <w:sz w:val="21"/>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082B663E">
      <w:pPr>
        <w:pStyle w:val="15"/>
        <w:snapToGrid w:val="0"/>
        <w:spacing w:before="120" w:after="120" w:line="360" w:lineRule="auto"/>
        <w:ind w:firstLine="420" w:firstLineChars="200"/>
        <w:rPr>
          <w:rFonts w:hAnsi="宋体"/>
          <w:bCs/>
          <w:kern w:val="2"/>
          <w:sz w:val="21"/>
        </w:rPr>
      </w:pPr>
      <w:r>
        <w:rPr>
          <w:rFonts w:hint="eastAsia" w:hAnsi="宋体"/>
          <w:bCs/>
          <w:kern w:val="2"/>
          <w:sz w:val="21"/>
        </w:rPr>
        <w:t>（1）在货物采购项目中，货物由中小企业制造，即货物由中小企业生产且使用该中小企业商号或者注册商标，不对其中涉及的工程承建商和服务的承接商作出要求；</w:t>
      </w:r>
    </w:p>
    <w:p w14:paraId="42C2700C">
      <w:pPr>
        <w:pStyle w:val="15"/>
        <w:snapToGrid w:val="0"/>
        <w:spacing w:before="120" w:after="120" w:line="360" w:lineRule="auto"/>
        <w:ind w:firstLine="420" w:firstLineChars="200"/>
        <w:rPr>
          <w:rFonts w:hAnsi="宋体"/>
          <w:bCs/>
          <w:kern w:val="2"/>
          <w:sz w:val="21"/>
        </w:rPr>
      </w:pPr>
      <w:r>
        <w:rPr>
          <w:rFonts w:hint="eastAsia" w:hAnsi="宋体"/>
          <w:bCs/>
          <w:kern w:val="2"/>
          <w:sz w:val="21"/>
        </w:rPr>
        <w:t>（2）在工程采购项目中，工程由中小企业承建，即工程施工单位为中小企业，不对其中涉及的货物的制造商和服务的承接商作出要求；</w:t>
      </w:r>
    </w:p>
    <w:p w14:paraId="13095F37">
      <w:pPr>
        <w:pStyle w:val="15"/>
        <w:snapToGrid w:val="0"/>
        <w:spacing w:before="120" w:after="120" w:line="360" w:lineRule="auto"/>
        <w:ind w:firstLine="420" w:firstLineChars="200"/>
        <w:rPr>
          <w:rFonts w:hAnsi="宋体"/>
          <w:bCs/>
          <w:kern w:val="2"/>
          <w:sz w:val="21"/>
        </w:rPr>
      </w:pPr>
      <w:r>
        <w:rPr>
          <w:rFonts w:hint="eastAsia" w:hAnsi="宋体"/>
          <w:bCs/>
          <w:kern w:val="2"/>
          <w:sz w:val="21"/>
        </w:rPr>
        <w:t>（3）在服务采购项目中，服务由中小企业承接，即提供服务的人员为中小企业依照《中华人民共和国劳动合同法》订立劳动合同的从业人员，不对其中涉及的货物的制造商和工程承建商作出要求。</w:t>
      </w:r>
    </w:p>
    <w:p w14:paraId="6FCA271E">
      <w:pPr>
        <w:pStyle w:val="15"/>
        <w:snapToGrid w:val="0"/>
        <w:spacing w:before="120" w:after="120" w:line="360" w:lineRule="auto"/>
        <w:ind w:firstLine="420" w:firstLineChars="200"/>
        <w:rPr>
          <w:rFonts w:hAnsi="宋体"/>
          <w:bCs/>
          <w:kern w:val="2"/>
          <w:sz w:val="21"/>
        </w:rPr>
      </w:pPr>
      <w:r>
        <w:rPr>
          <w:rFonts w:hint="eastAsia" w:hAnsi="宋体"/>
          <w:bCs/>
          <w:kern w:val="2"/>
          <w:sz w:val="21"/>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3671B374">
      <w:pPr>
        <w:pStyle w:val="15"/>
        <w:snapToGrid w:val="0"/>
        <w:spacing w:before="120" w:after="120" w:line="360" w:lineRule="auto"/>
        <w:ind w:firstLine="420" w:firstLineChars="200"/>
        <w:rPr>
          <w:rFonts w:hAnsi="宋体"/>
          <w:bCs/>
          <w:kern w:val="2"/>
          <w:sz w:val="21"/>
        </w:rPr>
      </w:pPr>
      <w:r>
        <w:rPr>
          <w:rFonts w:hint="eastAsia" w:hAnsi="宋体"/>
          <w:bCs/>
          <w:kern w:val="2"/>
          <w:sz w:val="21"/>
        </w:rPr>
        <w:t>依据本招标文件规定享受扶持政策获得政府采购合同的，小微企业不得将合同分包给大中型企业，中型企业不得将合同分包给大型企业。</w:t>
      </w:r>
    </w:p>
    <w:p w14:paraId="10817EBC">
      <w:pPr>
        <w:snapToGrid w:val="0"/>
        <w:spacing w:before="120" w:after="120"/>
        <w:ind w:firstLine="420" w:firstLineChars="200"/>
        <w:rPr>
          <w:rFonts w:hAnsi="宋体"/>
        </w:rPr>
      </w:pPr>
      <w:r>
        <w:rPr>
          <w:rFonts w:hAnsi="宋体"/>
        </w:rPr>
        <w:br w:type="page"/>
      </w:r>
    </w:p>
    <w:p w14:paraId="697AFE49">
      <w:pPr>
        <w:pStyle w:val="15"/>
        <w:snapToGrid w:val="0"/>
        <w:spacing w:before="120" w:after="120" w:line="360" w:lineRule="auto"/>
        <w:ind w:firstLine="400" w:firstLineChars="200"/>
        <w:rPr>
          <w:rFonts w:hAnsi="宋体"/>
        </w:rPr>
      </w:pPr>
      <w:r>
        <w:rPr>
          <w:rFonts w:hint="eastAsia" w:hAnsi="宋体"/>
        </w:rPr>
        <w:t>附件1：</w:t>
      </w:r>
    </w:p>
    <w:p w14:paraId="735B5C56">
      <w:pPr>
        <w:jc w:val="center"/>
        <w:rPr>
          <w:rFonts w:ascii="黑体" w:hAnsi="黑体" w:eastAsia="黑体" w:cs="黑体"/>
          <w:sz w:val="32"/>
          <w:szCs w:val="40"/>
        </w:rPr>
      </w:pPr>
      <w:r>
        <w:rPr>
          <w:rFonts w:hint="eastAsia" w:ascii="黑体" w:hAnsi="黑体" w:eastAsia="黑体" w:cs="黑体"/>
          <w:sz w:val="32"/>
          <w:szCs w:val="40"/>
        </w:rPr>
        <w:t>广西壮族自治区政府采购项目合同验收书（格式）</w:t>
      </w:r>
    </w:p>
    <w:p w14:paraId="76228B8E"/>
    <w:p w14:paraId="722365DF">
      <w:pPr>
        <w:ind w:firstLine="480" w:firstLineChars="200"/>
        <w:rPr>
          <w:sz w:val="24"/>
          <w:szCs w:val="32"/>
        </w:rPr>
      </w:pPr>
      <w:r>
        <w:rPr>
          <w:rFonts w:hint="eastAsia"/>
          <w:sz w:val="24"/>
          <w:szCs w:val="32"/>
        </w:rPr>
        <w:t>根据政府采购项目</w:t>
      </w:r>
      <w:r>
        <w:rPr>
          <w:rFonts w:hint="eastAsia"/>
          <w:sz w:val="24"/>
          <w:szCs w:val="32"/>
          <w:u w:val="single"/>
        </w:rPr>
        <w:t>（采购合同编号：</w:t>
      </w:r>
      <w:r>
        <w:rPr>
          <w:rFonts w:hint="eastAsia"/>
          <w:sz w:val="24"/>
          <w:szCs w:val="32"/>
          <w:u w:val="single"/>
        </w:rPr>
        <w:softHyphen/>
      </w:r>
      <w:r>
        <w:rPr>
          <w:rFonts w:hint="eastAsia"/>
          <w:sz w:val="24"/>
          <w:szCs w:val="32"/>
          <w:u w:val="single"/>
        </w:rPr>
        <w:t>）</w:t>
      </w:r>
      <w:r>
        <w:rPr>
          <w:rFonts w:hint="eastAsia"/>
          <w:sz w:val="24"/>
          <w:szCs w:val="32"/>
        </w:rPr>
        <w:t>的约定，我单位对</w:t>
      </w:r>
      <w:r>
        <w:rPr>
          <w:rFonts w:hint="eastAsia"/>
          <w:sz w:val="24"/>
          <w:szCs w:val="32"/>
          <w:u w:val="single"/>
        </w:rPr>
        <w:t>（项目名称）</w:t>
      </w:r>
      <w:r>
        <w:rPr>
          <w:rFonts w:hint="eastAsia"/>
          <w:sz w:val="24"/>
          <w:szCs w:val="32"/>
        </w:rPr>
        <w:t>政府采购项目</w:t>
      </w:r>
      <w:r>
        <w:rPr>
          <w:rFonts w:hint="eastAsia"/>
          <w:sz w:val="24"/>
          <w:szCs w:val="32"/>
          <w:u w:val="single"/>
        </w:rPr>
        <w:t>中标（或者成交）</w:t>
      </w:r>
      <w:r>
        <w:rPr>
          <w:rFonts w:hint="eastAsia"/>
          <w:sz w:val="24"/>
          <w:szCs w:val="32"/>
        </w:rPr>
        <w:t>投标人</w:t>
      </w:r>
      <w:r>
        <w:rPr>
          <w:rFonts w:hint="eastAsia"/>
          <w:sz w:val="24"/>
          <w:szCs w:val="32"/>
          <w:u w:val="single"/>
        </w:rPr>
        <w:t>（公司名称）</w:t>
      </w:r>
      <w:r>
        <w:rPr>
          <w:rFonts w:hint="eastAsia"/>
          <w:sz w:val="24"/>
          <w:szCs w:val="32"/>
        </w:rPr>
        <w:t>提供的货物</w:t>
      </w:r>
      <w:r>
        <w:rPr>
          <w:rFonts w:hint="eastAsia"/>
          <w:sz w:val="24"/>
          <w:szCs w:val="32"/>
          <w:u w:val="single"/>
        </w:rPr>
        <w:t>（或者工程、服务）</w:t>
      </w:r>
      <w:r>
        <w:rPr>
          <w:rFonts w:hint="eastAsia"/>
          <w:sz w:val="24"/>
          <w:szCs w:val="32"/>
        </w:rPr>
        <w:t>进行了验收，验收情况如下：</w:t>
      </w:r>
    </w:p>
    <w:tbl>
      <w:tblPr>
        <w:tblStyle w:val="25"/>
        <w:tblW w:w="0" w:type="auto"/>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01E9924B">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vAlign w:val="center"/>
          </w:tcPr>
          <w:p w14:paraId="20113235">
            <w:pPr>
              <w:snapToGrid w:val="0"/>
              <w:spacing w:before="100" w:beforeAutospacing="1" w:after="100" w:afterAutospacing="1" w:line="320" w:lineRule="atLeast"/>
              <w:ind w:firstLine="5"/>
              <w:jc w:val="center"/>
              <w:rPr>
                <w:rFonts w:ascii="Verdana" w:hAnsi="Verdana" w:cs="宋体"/>
                <w:kern w:val="0"/>
                <w:szCs w:val="21"/>
              </w:rPr>
            </w:pPr>
            <w:r>
              <w:rPr>
                <w:rFonts w:ascii="Verdana" w:hAnsi="Verdana" w:cs="宋体"/>
                <w:kern w:val="0"/>
                <w:szCs w:val="21"/>
              </w:rPr>
              <w:t>验收方式：</w:t>
            </w:r>
          </w:p>
        </w:tc>
        <w:tc>
          <w:tcPr>
            <w:tcW w:w="6119" w:type="dxa"/>
            <w:gridSpan w:val="6"/>
            <w:tcBorders>
              <w:top w:val="single" w:color="auto" w:sz="8" w:space="0"/>
              <w:left w:val="nil"/>
              <w:bottom w:val="single" w:color="auto" w:sz="8" w:space="0"/>
              <w:right w:val="single" w:color="auto" w:sz="8" w:space="0"/>
            </w:tcBorders>
            <w:vAlign w:val="center"/>
          </w:tcPr>
          <w:p w14:paraId="0DE0EE62">
            <w:pPr>
              <w:snapToGrid w:val="0"/>
              <w:spacing w:before="100" w:beforeAutospacing="1" w:after="100" w:afterAutospacing="1" w:line="320" w:lineRule="atLeast"/>
              <w:ind w:firstLine="480"/>
              <w:jc w:val="center"/>
              <w:rPr>
                <w:rFonts w:ascii="Verdana" w:hAnsi="Verdana" w:cs="宋体"/>
                <w:kern w:val="0"/>
                <w:szCs w:val="21"/>
              </w:rPr>
            </w:pPr>
            <w:r>
              <w:rPr>
                <w:rFonts w:ascii="Verdana" w:hAnsi="Verdana" w:cs="宋体"/>
                <w:kern w:val="0"/>
                <w:szCs w:val="21"/>
              </w:rPr>
              <w:t>□自行验收 □委托验收</w:t>
            </w:r>
          </w:p>
        </w:tc>
      </w:tr>
      <w:tr w14:paraId="4C193AE0">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vAlign w:val="center"/>
          </w:tcPr>
          <w:p w14:paraId="554A5A08">
            <w:pPr>
              <w:snapToGrid w:val="0"/>
              <w:spacing w:before="100" w:beforeAutospacing="1" w:after="100" w:afterAutospacing="1" w:line="320" w:lineRule="atLeast"/>
              <w:ind w:firstLine="2"/>
              <w:jc w:val="center"/>
              <w:rPr>
                <w:rFonts w:ascii="Verdana" w:hAnsi="Verdana" w:cs="宋体"/>
                <w:kern w:val="0"/>
                <w:szCs w:val="21"/>
              </w:rPr>
            </w:pPr>
            <w:r>
              <w:rPr>
                <w:rFonts w:ascii="Verdana" w:hAnsi="Verdana" w:cs="宋体"/>
                <w:kern w:val="0"/>
                <w:szCs w:val="21"/>
              </w:rPr>
              <w:t>序号</w:t>
            </w:r>
          </w:p>
        </w:tc>
        <w:tc>
          <w:tcPr>
            <w:tcW w:w="1921" w:type="dxa"/>
            <w:tcBorders>
              <w:top w:val="nil"/>
              <w:left w:val="nil"/>
              <w:bottom w:val="single" w:color="auto" w:sz="8" w:space="0"/>
              <w:right w:val="single" w:color="auto" w:sz="8" w:space="0"/>
            </w:tcBorders>
            <w:vAlign w:val="center"/>
          </w:tcPr>
          <w:p w14:paraId="4802C272">
            <w:pPr>
              <w:snapToGrid w:val="0"/>
              <w:spacing w:before="100" w:beforeAutospacing="1" w:after="100" w:afterAutospacing="1" w:line="320" w:lineRule="atLeast"/>
              <w:ind w:firstLine="2"/>
              <w:jc w:val="center"/>
              <w:rPr>
                <w:rFonts w:ascii="Verdana" w:hAnsi="Verdana" w:cs="宋体"/>
                <w:kern w:val="0"/>
                <w:szCs w:val="21"/>
              </w:rPr>
            </w:pPr>
            <w:r>
              <w:rPr>
                <w:rFonts w:ascii="Verdana" w:hAnsi="Verdana" w:cs="宋体"/>
                <w:kern w:val="0"/>
                <w:szCs w:val="21"/>
              </w:rPr>
              <w:t>名称</w:t>
            </w:r>
          </w:p>
        </w:tc>
        <w:tc>
          <w:tcPr>
            <w:tcW w:w="2902" w:type="dxa"/>
            <w:gridSpan w:val="3"/>
            <w:tcBorders>
              <w:top w:val="nil"/>
              <w:left w:val="nil"/>
              <w:bottom w:val="single" w:color="auto" w:sz="8" w:space="0"/>
              <w:right w:val="single" w:color="auto" w:sz="8" w:space="0"/>
            </w:tcBorders>
            <w:vAlign w:val="center"/>
          </w:tcPr>
          <w:p w14:paraId="3C7A7185">
            <w:pPr>
              <w:snapToGrid w:val="0"/>
              <w:spacing w:before="100" w:beforeAutospacing="1" w:after="100" w:afterAutospacing="1" w:line="320" w:lineRule="atLeast"/>
              <w:ind w:firstLine="2"/>
              <w:jc w:val="center"/>
              <w:rPr>
                <w:rFonts w:ascii="Verdana" w:hAnsi="Verdana" w:cs="宋体"/>
                <w:kern w:val="0"/>
                <w:szCs w:val="21"/>
              </w:rPr>
            </w:pPr>
            <w:r>
              <w:rPr>
                <w:rFonts w:ascii="Verdana" w:hAnsi="Verdana" w:cs="宋体"/>
                <w:kern w:val="0"/>
                <w:szCs w:val="21"/>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0E535B56">
            <w:pPr>
              <w:snapToGrid w:val="0"/>
              <w:spacing w:before="100" w:beforeAutospacing="1" w:after="100" w:afterAutospacing="1" w:line="320" w:lineRule="atLeast"/>
              <w:jc w:val="center"/>
              <w:rPr>
                <w:rFonts w:ascii="Verdana" w:hAnsi="Verdana" w:cs="宋体"/>
                <w:kern w:val="0"/>
                <w:szCs w:val="21"/>
              </w:rPr>
            </w:pPr>
            <w:r>
              <w:rPr>
                <w:rFonts w:ascii="Verdana" w:hAnsi="Verdana" w:cs="宋体"/>
                <w:kern w:val="0"/>
                <w:szCs w:val="21"/>
              </w:rPr>
              <w:t>数量</w:t>
            </w:r>
          </w:p>
        </w:tc>
        <w:tc>
          <w:tcPr>
            <w:tcW w:w="2354" w:type="dxa"/>
            <w:tcBorders>
              <w:top w:val="nil"/>
              <w:left w:val="nil"/>
              <w:bottom w:val="single" w:color="auto" w:sz="8" w:space="0"/>
              <w:right w:val="single" w:color="auto" w:sz="8" w:space="0"/>
            </w:tcBorders>
            <w:vAlign w:val="center"/>
          </w:tcPr>
          <w:p w14:paraId="5C8B3A99">
            <w:pPr>
              <w:snapToGrid w:val="0"/>
              <w:spacing w:before="100" w:beforeAutospacing="1" w:after="100" w:afterAutospacing="1" w:line="320" w:lineRule="atLeast"/>
              <w:ind w:firstLine="2"/>
              <w:jc w:val="center"/>
              <w:rPr>
                <w:rFonts w:ascii="Verdana" w:hAnsi="Verdana" w:cs="宋体"/>
                <w:kern w:val="0"/>
                <w:szCs w:val="21"/>
              </w:rPr>
            </w:pPr>
            <w:r>
              <w:rPr>
                <w:rFonts w:ascii="Verdana" w:hAnsi="Verdana" w:cs="宋体"/>
                <w:kern w:val="0"/>
                <w:szCs w:val="21"/>
              </w:rPr>
              <w:t>金额</w:t>
            </w:r>
          </w:p>
        </w:tc>
      </w:tr>
      <w:tr w14:paraId="0FFEC9E3">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43416FEA">
            <w:pPr>
              <w:spacing w:before="100" w:beforeAutospacing="1" w:after="100" w:afterAutospacing="1" w:line="240" w:lineRule="atLeast"/>
              <w:jc w:val="center"/>
              <w:rPr>
                <w:rFonts w:ascii="Verdana" w:hAnsi="Verdana" w:cs="宋体"/>
                <w:kern w:val="0"/>
                <w:szCs w:val="21"/>
              </w:rPr>
            </w:pPr>
          </w:p>
        </w:tc>
        <w:tc>
          <w:tcPr>
            <w:tcW w:w="1921" w:type="dxa"/>
            <w:tcBorders>
              <w:top w:val="nil"/>
              <w:left w:val="nil"/>
              <w:bottom w:val="single" w:color="auto" w:sz="8" w:space="0"/>
              <w:right w:val="single" w:color="auto" w:sz="8" w:space="0"/>
            </w:tcBorders>
            <w:vAlign w:val="center"/>
          </w:tcPr>
          <w:p w14:paraId="4B40FF64">
            <w:pPr>
              <w:spacing w:before="100" w:beforeAutospacing="1" w:after="100" w:afterAutospacing="1" w:line="240" w:lineRule="atLeast"/>
              <w:jc w:val="center"/>
              <w:rPr>
                <w:rFonts w:ascii="Verdana" w:hAnsi="Verdana" w:cs="宋体"/>
                <w:kern w:val="0"/>
                <w:szCs w:val="21"/>
              </w:rPr>
            </w:pPr>
          </w:p>
        </w:tc>
        <w:tc>
          <w:tcPr>
            <w:tcW w:w="2902" w:type="dxa"/>
            <w:gridSpan w:val="3"/>
            <w:tcBorders>
              <w:top w:val="nil"/>
              <w:left w:val="nil"/>
              <w:bottom w:val="single" w:color="auto" w:sz="8" w:space="0"/>
              <w:right w:val="single" w:color="auto" w:sz="8" w:space="0"/>
            </w:tcBorders>
            <w:vAlign w:val="center"/>
          </w:tcPr>
          <w:p w14:paraId="69040C75">
            <w:pPr>
              <w:spacing w:before="100" w:beforeAutospacing="1" w:after="100" w:afterAutospacing="1" w:line="240" w:lineRule="atLeast"/>
              <w:jc w:val="center"/>
              <w:rPr>
                <w:rFonts w:ascii="Verdana" w:hAnsi="Verdana" w:cs="宋体"/>
                <w:kern w:val="0"/>
                <w:szCs w:val="21"/>
              </w:rPr>
            </w:pPr>
          </w:p>
        </w:tc>
        <w:tc>
          <w:tcPr>
            <w:tcW w:w="863" w:type="dxa"/>
            <w:gridSpan w:val="2"/>
            <w:tcBorders>
              <w:top w:val="nil"/>
              <w:left w:val="nil"/>
              <w:bottom w:val="single" w:color="auto" w:sz="8" w:space="0"/>
              <w:right w:val="single" w:color="auto" w:sz="8" w:space="0"/>
            </w:tcBorders>
            <w:vAlign w:val="center"/>
          </w:tcPr>
          <w:p w14:paraId="04E4E855">
            <w:pPr>
              <w:spacing w:before="100" w:beforeAutospacing="1" w:after="100" w:afterAutospacing="1" w:line="240" w:lineRule="atLeast"/>
              <w:jc w:val="center"/>
              <w:rPr>
                <w:rFonts w:ascii="Verdana" w:hAnsi="Verdana" w:cs="宋体"/>
                <w:kern w:val="0"/>
                <w:szCs w:val="21"/>
              </w:rPr>
            </w:pPr>
          </w:p>
        </w:tc>
        <w:tc>
          <w:tcPr>
            <w:tcW w:w="2354" w:type="dxa"/>
            <w:tcBorders>
              <w:top w:val="nil"/>
              <w:left w:val="nil"/>
              <w:bottom w:val="single" w:color="auto" w:sz="8" w:space="0"/>
              <w:right w:val="single" w:color="auto" w:sz="8" w:space="0"/>
            </w:tcBorders>
            <w:vAlign w:val="center"/>
          </w:tcPr>
          <w:p w14:paraId="28AA7DA6">
            <w:pPr>
              <w:spacing w:before="100" w:beforeAutospacing="1" w:after="100" w:afterAutospacing="1" w:line="240" w:lineRule="atLeast"/>
              <w:jc w:val="center"/>
              <w:rPr>
                <w:rFonts w:ascii="Verdana" w:hAnsi="Verdana" w:cs="宋体"/>
                <w:kern w:val="0"/>
                <w:szCs w:val="21"/>
              </w:rPr>
            </w:pPr>
          </w:p>
        </w:tc>
      </w:tr>
      <w:tr w14:paraId="2BB83852">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611CCC18">
            <w:pPr>
              <w:spacing w:before="100" w:beforeAutospacing="1" w:after="100" w:afterAutospacing="1" w:line="240" w:lineRule="atLeast"/>
              <w:jc w:val="center"/>
              <w:rPr>
                <w:rFonts w:ascii="Verdana" w:hAnsi="Verdana" w:cs="宋体"/>
                <w:kern w:val="0"/>
                <w:szCs w:val="21"/>
              </w:rPr>
            </w:pPr>
          </w:p>
        </w:tc>
        <w:tc>
          <w:tcPr>
            <w:tcW w:w="1921" w:type="dxa"/>
            <w:tcBorders>
              <w:top w:val="nil"/>
              <w:left w:val="nil"/>
              <w:bottom w:val="single" w:color="auto" w:sz="8" w:space="0"/>
              <w:right w:val="single" w:color="auto" w:sz="8" w:space="0"/>
            </w:tcBorders>
            <w:vAlign w:val="center"/>
          </w:tcPr>
          <w:p w14:paraId="1DBDF57C">
            <w:pPr>
              <w:spacing w:before="100" w:beforeAutospacing="1" w:after="100" w:afterAutospacing="1" w:line="240" w:lineRule="atLeast"/>
              <w:jc w:val="center"/>
              <w:rPr>
                <w:rFonts w:ascii="Verdana" w:hAnsi="Verdana" w:cs="宋体"/>
                <w:kern w:val="0"/>
                <w:szCs w:val="21"/>
              </w:rPr>
            </w:pPr>
          </w:p>
        </w:tc>
        <w:tc>
          <w:tcPr>
            <w:tcW w:w="2902" w:type="dxa"/>
            <w:gridSpan w:val="3"/>
            <w:tcBorders>
              <w:top w:val="nil"/>
              <w:left w:val="nil"/>
              <w:bottom w:val="single" w:color="auto" w:sz="8" w:space="0"/>
              <w:right w:val="single" w:color="auto" w:sz="8" w:space="0"/>
            </w:tcBorders>
            <w:vAlign w:val="center"/>
          </w:tcPr>
          <w:p w14:paraId="40641F2E">
            <w:pPr>
              <w:spacing w:before="100" w:beforeAutospacing="1" w:after="100" w:afterAutospacing="1" w:line="240" w:lineRule="atLeast"/>
              <w:jc w:val="center"/>
              <w:rPr>
                <w:rFonts w:ascii="Verdana" w:hAnsi="Verdana" w:cs="宋体"/>
                <w:kern w:val="0"/>
                <w:szCs w:val="21"/>
              </w:rPr>
            </w:pPr>
          </w:p>
        </w:tc>
        <w:tc>
          <w:tcPr>
            <w:tcW w:w="863" w:type="dxa"/>
            <w:gridSpan w:val="2"/>
            <w:tcBorders>
              <w:top w:val="nil"/>
              <w:left w:val="nil"/>
              <w:bottom w:val="single" w:color="auto" w:sz="8" w:space="0"/>
              <w:right w:val="single" w:color="auto" w:sz="8" w:space="0"/>
            </w:tcBorders>
            <w:vAlign w:val="center"/>
          </w:tcPr>
          <w:p w14:paraId="4C94D8FF">
            <w:pPr>
              <w:spacing w:before="100" w:beforeAutospacing="1" w:after="100" w:afterAutospacing="1" w:line="240" w:lineRule="atLeast"/>
              <w:jc w:val="center"/>
              <w:rPr>
                <w:rFonts w:ascii="Verdana" w:hAnsi="Verdana" w:cs="宋体"/>
                <w:kern w:val="0"/>
                <w:szCs w:val="21"/>
              </w:rPr>
            </w:pPr>
          </w:p>
        </w:tc>
        <w:tc>
          <w:tcPr>
            <w:tcW w:w="2354" w:type="dxa"/>
            <w:tcBorders>
              <w:top w:val="nil"/>
              <w:left w:val="nil"/>
              <w:bottom w:val="single" w:color="auto" w:sz="8" w:space="0"/>
              <w:right w:val="single" w:color="auto" w:sz="8" w:space="0"/>
            </w:tcBorders>
            <w:vAlign w:val="center"/>
          </w:tcPr>
          <w:p w14:paraId="5DB58F87">
            <w:pPr>
              <w:spacing w:before="100" w:beforeAutospacing="1" w:after="100" w:afterAutospacing="1" w:line="240" w:lineRule="atLeast"/>
              <w:jc w:val="center"/>
              <w:rPr>
                <w:rFonts w:ascii="Verdana" w:hAnsi="Verdana" w:cs="宋体"/>
                <w:kern w:val="0"/>
                <w:szCs w:val="21"/>
              </w:rPr>
            </w:pPr>
          </w:p>
        </w:tc>
      </w:tr>
      <w:tr w14:paraId="7FD77141">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vAlign w:val="center"/>
          </w:tcPr>
          <w:p w14:paraId="33AE91EC">
            <w:pPr>
              <w:snapToGrid w:val="0"/>
              <w:spacing w:before="100" w:beforeAutospacing="1" w:after="100" w:afterAutospacing="1" w:line="320" w:lineRule="atLeast"/>
              <w:ind w:firstLine="5"/>
              <w:jc w:val="center"/>
              <w:rPr>
                <w:rFonts w:ascii="Verdana" w:hAnsi="Verdana" w:cs="宋体"/>
                <w:kern w:val="0"/>
                <w:szCs w:val="21"/>
              </w:rPr>
            </w:pPr>
            <w:r>
              <w:rPr>
                <w:rFonts w:ascii="Verdana" w:hAnsi="Verdana" w:cs="宋体"/>
                <w:kern w:val="0"/>
                <w:szCs w:val="21"/>
              </w:rPr>
              <w:t>合计</w:t>
            </w:r>
          </w:p>
        </w:tc>
        <w:tc>
          <w:tcPr>
            <w:tcW w:w="863" w:type="dxa"/>
            <w:gridSpan w:val="2"/>
            <w:tcBorders>
              <w:top w:val="nil"/>
              <w:left w:val="nil"/>
              <w:bottom w:val="single" w:color="auto" w:sz="8" w:space="0"/>
              <w:right w:val="single" w:color="auto" w:sz="8" w:space="0"/>
            </w:tcBorders>
            <w:vAlign w:val="center"/>
          </w:tcPr>
          <w:p w14:paraId="2C3BDBC7">
            <w:pPr>
              <w:spacing w:before="100" w:beforeAutospacing="1" w:after="100" w:afterAutospacing="1" w:line="240" w:lineRule="atLeast"/>
              <w:jc w:val="center"/>
              <w:rPr>
                <w:rFonts w:ascii="Verdana" w:hAnsi="Verdana" w:cs="宋体"/>
                <w:kern w:val="0"/>
                <w:szCs w:val="21"/>
              </w:rPr>
            </w:pPr>
          </w:p>
        </w:tc>
        <w:tc>
          <w:tcPr>
            <w:tcW w:w="2354" w:type="dxa"/>
            <w:tcBorders>
              <w:top w:val="nil"/>
              <w:left w:val="nil"/>
              <w:bottom w:val="single" w:color="auto" w:sz="8" w:space="0"/>
              <w:right w:val="single" w:color="auto" w:sz="8" w:space="0"/>
            </w:tcBorders>
            <w:vAlign w:val="center"/>
          </w:tcPr>
          <w:p w14:paraId="392D5739">
            <w:pPr>
              <w:spacing w:before="100" w:beforeAutospacing="1" w:after="100" w:afterAutospacing="1" w:line="240" w:lineRule="atLeast"/>
              <w:jc w:val="center"/>
              <w:rPr>
                <w:rFonts w:ascii="Verdana" w:hAnsi="Verdana" w:cs="宋体"/>
                <w:kern w:val="0"/>
                <w:szCs w:val="21"/>
              </w:rPr>
            </w:pPr>
          </w:p>
        </w:tc>
      </w:tr>
      <w:tr w14:paraId="28928E14">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vAlign w:val="center"/>
          </w:tcPr>
          <w:p w14:paraId="5BB1EAD1">
            <w:pPr>
              <w:snapToGrid w:val="0"/>
              <w:spacing w:before="100" w:beforeAutospacing="1" w:after="100" w:afterAutospacing="1" w:line="320" w:lineRule="atLeast"/>
              <w:ind w:firstLine="2"/>
              <w:jc w:val="left"/>
              <w:rPr>
                <w:rFonts w:ascii="Verdana" w:hAnsi="Verdana" w:cs="宋体"/>
                <w:kern w:val="0"/>
                <w:szCs w:val="21"/>
              </w:rPr>
            </w:pPr>
            <w:r>
              <w:rPr>
                <w:rFonts w:ascii="Verdana" w:hAnsi="Verdana" w:cs="宋体"/>
                <w:kern w:val="0"/>
                <w:szCs w:val="21"/>
              </w:rPr>
              <w:t>合计大写金额：</w:t>
            </w:r>
            <w:r>
              <w:rPr>
                <w:rFonts w:hint="eastAsia" w:ascii="Verdana" w:hAnsi="Verdana" w:cs="宋体"/>
                <w:kern w:val="0"/>
                <w:szCs w:val="21"/>
              </w:rPr>
              <w:t>亿</w:t>
            </w:r>
            <w:r>
              <w:rPr>
                <w:rFonts w:ascii="Verdana" w:hAnsi="Verdana" w:cs="宋体"/>
                <w:kern w:val="0"/>
                <w:szCs w:val="21"/>
              </w:rPr>
              <w:t>仟佰拾万仟佰拾元</w:t>
            </w:r>
          </w:p>
        </w:tc>
      </w:tr>
      <w:tr w14:paraId="12A37DC8">
        <w:tblPrEx>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vAlign w:val="center"/>
          </w:tcPr>
          <w:p w14:paraId="770F4C5C">
            <w:pPr>
              <w:snapToGrid w:val="0"/>
              <w:spacing w:before="100" w:beforeAutospacing="1" w:after="100" w:afterAutospacing="1" w:line="320" w:lineRule="atLeast"/>
              <w:ind w:firstLine="2"/>
              <w:jc w:val="center"/>
              <w:rPr>
                <w:rFonts w:ascii="Verdana" w:hAnsi="Verdana" w:cs="宋体"/>
                <w:kern w:val="0"/>
                <w:szCs w:val="21"/>
              </w:rPr>
            </w:pPr>
            <w:r>
              <w:rPr>
                <w:rFonts w:ascii="Verdana" w:hAnsi="Verdana" w:cs="宋体"/>
                <w:kern w:val="0"/>
                <w:szCs w:val="21"/>
              </w:rPr>
              <w:t>实际供货日期</w:t>
            </w:r>
          </w:p>
        </w:tc>
        <w:tc>
          <w:tcPr>
            <w:tcW w:w="2719" w:type="dxa"/>
            <w:gridSpan w:val="2"/>
            <w:tcBorders>
              <w:top w:val="nil"/>
              <w:left w:val="nil"/>
              <w:bottom w:val="single" w:color="auto" w:sz="8" w:space="0"/>
              <w:right w:val="single" w:color="auto" w:sz="8" w:space="0"/>
            </w:tcBorders>
            <w:vAlign w:val="center"/>
          </w:tcPr>
          <w:p w14:paraId="5D9CB4F6">
            <w:pPr>
              <w:spacing w:before="100" w:beforeAutospacing="1" w:after="100" w:afterAutospacing="1" w:line="240" w:lineRule="atLeast"/>
              <w:jc w:val="center"/>
              <w:rPr>
                <w:rFonts w:ascii="Verdana" w:hAnsi="Verdana" w:cs="宋体"/>
                <w:kern w:val="0"/>
                <w:szCs w:val="21"/>
              </w:rPr>
            </w:pPr>
          </w:p>
        </w:tc>
        <w:tc>
          <w:tcPr>
            <w:tcW w:w="2282" w:type="dxa"/>
            <w:gridSpan w:val="3"/>
            <w:tcBorders>
              <w:top w:val="nil"/>
              <w:left w:val="nil"/>
              <w:bottom w:val="single" w:color="auto" w:sz="8" w:space="0"/>
              <w:right w:val="single" w:color="auto" w:sz="8" w:space="0"/>
            </w:tcBorders>
            <w:vAlign w:val="center"/>
          </w:tcPr>
          <w:p w14:paraId="6880B8DE">
            <w:pPr>
              <w:snapToGrid w:val="0"/>
              <w:spacing w:before="100" w:beforeAutospacing="1" w:after="100" w:afterAutospacing="1" w:line="320" w:lineRule="atLeast"/>
              <w:ind w:firstLine="46"/>
              <w:jc w:val="center"/>
              <w:rPr>
                <w:rFonts w:ascii="Verdana" w:hAnsi="Verdana" w:cs="宋体"/>
                <w:kern w:val="0"/>
                <w:szCs w:val="21"/>
              </w:rPr>
            </w:pPr>
            <w:r>
              <w:rPr>
                <w:rFonts w:ascii="Verdana" w:hAnsi="Verdana" w:cs="宋体"/>
                <w:kern w:val="0"/>
                <w:szCs w:val="21"/>
              </w:rPr>
              <w:t>合同交货验收日期</w:t>
            </w:r>
          </w:p>
        </w:tc>
        <w:tc>
          <w:tcPr>
            <w:tcW w:w="3039" w:type="dxa"/>
            <w:gridSpan w:val="2"/>
            <w:tcBorders>
              <w:top w:val="nil"/>
              <w:left w:val="nil"/>
              <w:bottom w:val="single" w:color="auto" w:sz="8" w:space="0"/>
              <w:right w:val="single" w:color="auto" w:sz="8" w:space="0"/>
            </w:tcBorders>
            <w:vAlign w:val="center"/>
          </w:tcPr>
          <w:p w14:paraId="082996C2">
            <w:pPr>
              <w:spacing w:before="100" w:beforeAutospacing="1" w:after="100" w:afterAutospacing="1" w:line="240" w:lineRule="atLeast"/>
              <w:jc w:val="center"/>
              <w:rPr>
                <w:rFonts w:ascii="Verdana" w:hAnsi="Verdana" w:cs="宋体"/>
                <w:kern w:val="0"/>
                <w:szCs w:val="21"/>
              </w:rPr>
            </w:pPr>
          </w:p>
        </w:tc>
      </w:tr>
      <w:tr w14:paraId="408052A7">
        <w:tblPrEx>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vAlign w:val="center"/>
          </w:tcPr>
          <w:p w14:paraId="391C83B1">
            <w:pPr>
              <w:spacing w:before="100" w:beforeAutospacing="1" w:after="100" w:afterAutospacing="1" w:line="240" w:lineRule="atLeast"/>
              <w:jc w:val="center"/>
              <w:rPr>
                <w:rFonts w:ascii="Verdana" w:hAnsi="Verdana" w:cs="宋体"/>
                <w:kern w:val="0"/>
                <w:szCs w:val="21"/>
              </w:rPr>
            </w:pPr>
          </w:p>
        </w:tc>
        <w:tc>
          <w:tcPr>
            <w:tcW w:w="2719" w:type="dxa"/>
            <w:gridSpan w:val="2"/>
            <w:tcBorders>
              <w:top w:val="nil"/>
              <w:left w:val="nil"/>
              <w:bottom w:val="single" w:color="auto" w:sz="8" w:space="0"/>
              <w:right w:val="single" w:color="auto" w:sz="8" w:space="0"/>
            </w:tcBorders>
            <w:vAlign w:val="center"/>
          </w:tcPr>
          <w:p w14:paraId="5BDE27A6">
            <w:pPr>
              <w:spacing w:before="100" w:beforeAutospacing="1" w:after="100" w:afterAutospacing="1" w:line="240" w:lineRule="atLeast"/>
              <w:jc w:val="center"/>
              <w:rPr>
                <w:rFonts w:ascii="Verdana" w:hAnsi="Verdana" w:cs="宋体"/>
                <w:kern w:val="0"/>
                <w:szCs w:val="21"/>
              </w:rPr>
            </w:pPr>
          </w:p>
        </w:tc>
        <w:tc>
          <w:tcPr>
            <w:tcW w:w="2282" w:type="dxa"/>
            <w:gridSpan w:val="3"/>
            <w:tcBorders>
              <w:top w:val="nil"/>
              <w:left w:val="nil"/>
              <w:bottom w:val="single" w:color="auto" w:sz="8" w:space="0"/>
              <w:right w:val="single" w:color="auto" w:sz="8" w:space="0"/>
            </w:tcBorders>
            <w:vAlign w:val="center"/>
          </w:tcPr>
          <w:p w14:paraId="4CD2EC75">
            <w:pPr>
              <w:spacing w:before="100" w:beforeAutospacing="1" w:after="100" w:afterAutospacing="1" w:line="240" w:lineRule="atLeast"/>
              <w:jc w:val="center"/>
              <w:rPr>
                <w:rFonts w:ascii="Verdana" w:hAnsi="Verdana" w:cs="宋体"/>
                <w:kern w:val="0"/>
                <w:szCs w:val="21"/>
              </w:rPr>
            </w:pPr>
          </w:p>
        </w:tc>
        <w:tc>
          <w:tcPr>
            <w:tcW w:w="3039" w:type="dxa"/>
            <w:gridSpan w:val="2"/>
            <w:tcBorders>
              <w:top w:val="nil"/>
              <w:left w:val="nil"/>
              <w:bottom w:val="single" w:color="auto" w:sz="8" w:space="0"/>
              <w:right w:val="single" w:color="auto" w:sz="8" w:space="0"/>
            </w:tcBorders>
            <w:vAlign w:val="center"/>
          </w:tcPr>
          <w:p w14:paraId="3BB4848B">
            <w:pPr>
              <w:spacing w:before="100" w:beforeAutospacing="1" w:after="100" w:afterAutospacing="1" w:line="240" w:lineRule="atLeast"/>
              <w:jc w:val="center"/>
              <w:rPr>
                <w:rFonts w:ascii="Verdana" w:hAnsi="Verdana" w:cs="宋体"/>
                <w:kern w:val="0"/>
                <w:szCs w:val="21"/>
              </w:rPr>
            </w:pPr>
          </w:p>
        </w:tc>
      </w:tr>
      <w:tr w14:paraId="23CF1ABD">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C219C8E">
            <w:pPr>
              <w:snapToGrid w:val="0"/>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验收具体内容</w:t>
            </w:r>
          </w:p>
        </w:tc>
        <w:tc>
          <w:tcPr>
            <w:tcW w:w="804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6B78B60C">
            <w:pPr>
              <w:snapToGrid w:val="0"/>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应按采购合同、采购文件、投标文件及验收方案等进行验收；并核对中标或者成交投标人在安装调试等方面是否违反合同约定或者服务规范要求、提供的质量保证证明材料是否齐全、应有的配件及附件是否达到合同约定等。可附件)</w:t>
            </w:r>
          </w:p>
        </w:tc>
      </w:tr>
      <w:tr w14:paraId="446209A3">
        <w:tblPrEx>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4999DCA">
            <w:pPr>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验收小组意见</w:t>
            </w:r>
          </w:p>
        </w:tc>
        <w:tc>
          <w:tcPr>
            <w:tcW w:w="8040" w:type="dxa"/>
            <w:gridSpan w:val="7"/>
            <w:tcBorders>
              <w:top w:val="nil"/>
              <w:left w:val="nil"/>
              <w:bottom w:val="single" w:color="auto" w:sz="8" w:space="0"/>
              <w:right w:val="single" w:color="auto" w:sz="8" w:space="0"/>
            </w:tcBorders>
            <w:vAlign w:val="center"/>
          </w:tcPr>
          <w:p w14:paraId="5F0F6E1F">
            <w:pPr>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验收结论性意见：</w:t>
            </w:r>
          </w:p>
        </w:tc>
      </w:tr>
      <w:tr w14:paraId="65D027A8">
        <w:tblPrEx>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vAlign w:val="center"/>
          </w:tcPr>
          <w:p w14:paraId="5E2D387D">
            <w:pPr>
              <w:jc w:val="left"/>
              <w:rPr>
                <w:rFonts w:ascii="Verdana" w:hAnsi="Verdana" w:cs="宋体"/>
                <w:kern w:val="0"/>
                <w:szCs w:val="21"/>
              </w:rPr>
            </w:pPr>
          </w:p>
        </w:tc>
        <w:tc>
          <w:tcPr>
            <w:tcW w:w="8040" w:type="dxa"/>
            <w:gridSpan w:val="7"/>
            <w:tcBorders>
              <w:top w:val="nil"/>
              <w:left w:val="nil"/>
              <w:bottom w:val="single" w:color="auto" w:sz="8" w:space="0"/>
              <w:right w:val="single" w:color="auto" w:sz="8" w:space="0"/>
            </w:tcBorders>
            <w:vAlign w:val="center"/>
          </w:tcPr>
          <w:p w14:paraId="7DA0514D">
            <w:pPr>
              <w:spacing w:before="100" w:beforeAutospacing="1" w:after="100" w:afterAutospacing="1" w:line="320" w:lineRule="atLeast"/>
              <w:ind w:firstLine="96"/>
              <w:jc w:val="left"/>
              <w:rPr>
                <w:rFonts w:ascii="Verdana" w:hAnsi="Verdana" w:cs="宋体"/>
                <w:kern w:val="0"/>
                <w:szCs w:val="21"/>
              </w:rPr>
            </w:pPr>
            <w:r>
              <w:rPr>
                <w:rFonts w:ascii="Verdana" w:hAnsi="Verdana" w:cs="宋体"/>
                <w:kern w:val="0"/>
                <w:szCs w:val="21"/>
              </w:rPr>
              <w:t>有异议的意见和说明理由：</w:t>
            </w:r>
          </w:p>
          <w:p w14:paraId="497315D4">
            <w:pPr>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签字：</w:t>
            </w:r>
          </w:p>
        </w:tc>
      </w:tr>
      <w:tr w14:paraId="2A6B5091">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5420B35">
            <w:pPr>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验收小组成员签字：</w:t>
            </w:r>
          </w:p>
        </w:tc>
      </w:tr>
      <w:tr w14:paraId="4F4DCAC8">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CAC3B77">
            <w:pPr>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监督人员或者其他相关人员签字：</w:t>
            </w:r>
          </w:p>
          <w:p w14:paraId="2C8FEE6B">
            <w:pPr>
              <w:spacing w:before="100" w:beforeAutospacing="1" w:after="100" w:afterAutospacing="1" w:line="320" w:lineRule="atLeast"/>
              <w:ind w:firstLine="74"/>
              <w:jc w:val="left"/>
              <w:rPr>
                <w:rFonts w:ascii="Verdana" w:hAnsi="Verdana" w:cs="宋体"/>
                <w:kern w:val="0"/>
                <w:szCs w:val="21"/>
              </w:rPr>
            </w:pPr>
            <w:r>
              <w:rPr>
                <w:rFonts w:ascii="Verdana" w:hAnsi="Verdana" w:cs="宋体"/>
                <w:kern w:val="0"/>
                <w:szCs w:val="21"/>
              </w:rPr>
              <w:t>或者受邀机构的意见（盖章）：</w:t>
            </w:r>
          </w:p>
        </w:tc>
      </w:tr>
      <w:tr w14:paraId="5376C424">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nil"/>
            </w:tcBorders>
            <w:tcMar>
              <w:top w:w="0" w:type="dxa"/>
              <w:left w:w="108" w:type="dxa"/>
              <w:bottom w:w="0" w:type="dxa"/>
              <w:right w:w="108" w:type="dxa"/>
            </w:tcMar>
            <w:vAlign w:val="center"/>
          </w:tcPr>
          <w:p w14:paraId="07A40AC0">
            <w:pPr>
              <w:spacing w:before="100" w:beforeAutospacing="1" w:after="100" w:afterAutospacing="1" w:line="320" w:lineRule="atLeast"/>
              <w:ind w:firstLine="74"/>
              <w:jc w:val="left"/>
              <w:rPr>
                <w:rFonts w:ascii="Verdana" w:hAnsi="Verdana" w:cs="宋体"/>
                <w:kern w:val="0"/>
                <w:szCs w:val="21"/>
              </w:rPr>
            </w:pPr>
            <w:r>
              <w:rPr>
                <w:rFonts w:ascii="Verdana" w:hAnsi="Verdana" w:cs="宋体"/>
                <w:kern w:val="0"/>
                <w:szCs w:val="21"/>
              </w:rPr>
              <w:t>中标或者成交人负责人签字或者盖章：</w:t>
            </w:r>
          </w:p>
          <w:p w14:paraId="0517827A">
            <w:pPr>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联系电话：年月日</w:t>
            </w:r>
          </w:p>
        </w:tc>
        <w:tc>
          <w:tcPr>
            <w:tcW w:w="5219" w:type="dxa"/>
            <w:gridSpan w:val="4"/>
            <w:tcBorders>
              <w:top w:val="nil"/>
              <w:left w:val="nil"/>
              <w:bottom w:val="single" w:color="auto" w:sz="8" w:space="0"/>
              <w:right w:val="single" w:color="auto" w:sz="8" w:space="0"/>
            </w:tcBorders>
            <w:vAlign w:val="center"/>
          </w:tcPr>
          <w:p w14:paraId="4599A651">
            <w:pPr>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采购人或者受托机构的意见（盖章）：</w:t>
            </w:r>
          </w:p>
          <w:p w14:paraId="1FDE7B63">
            <w:pPr>
              <w:spacing w:before="100" w:beforeAutospacing="1" w:after="100" w:afterAutospacing="1" w:line="320" w:lineRule="atLeast"/>
              <w:jc w:val="left"/>
              <w:rPr>
                <w:rFonts w:ascii="Verdana" w:hAnsi="Verdana" w:cs="宋体"/>
                <w:kern w:val="0"/>
                <w:szCs w:val="21"/>
              </w:rPr>
            </w:pPr>
            <w:r>
              <w:rPr>
                <w:rFonts w:ascii="Verdana" w:hAnsi="Verdana" w:cs="宋体"/>
                <w:kern w:val="0"/>
                <w:szCs w:val="21"/>
              </w:rPr>
              <w:t>联系电话：年月日</w:t>
            </w:r>
          </w:p>
        </w:tc>
      </w:tr>
    </w:tbl>
    <w:p w14:paraId="72E7DA5A">
      <w:pPr>
        <w:jc w:val="left"/>
        <w:rPr>
          <w:rFonts w:hAnsi="宋体"/>
        </w:rPr>
      </w:pPr>
      <w:r>
        <w:rPr>
          <w:rFonts w:hAnsi="宋体"/>
        </w:rPr>
        <w:br w:type="page"/>
      </w:r>
      <w:r>
        <w:rPr>
          <w:rFonts w:hint="eastAsia" w:hAnsi="宋体"/>
        </w:rPr>
        <w:t>附件2：</w:t>
      </w:r>
    </w:p>
    <w:p w14:paraId="00942158">
      <w:pPr>
        <w:jc w:val="center"/>
        <w:rPr>
          <w:rFonts w:ascii="黑体" w:hAnsi="黑体" w:eastAsia="黑体"/>
          <w:sz w:val="32"/>
          <w:szCs w:val="32"/>
        </w:rPr>
      </w:pPr>
      <w:r>
        <w:rPr>
          <w:rFonts w:hint="eastAsia" w:ascii="黑体" w:hAnsi="黑体" w:eastAsia="黑体"/>
          <w:sz w:val="32"/>
          <w:szCs w:val="32"/>
        </w:rPr>
        <w:t>政府采购项目履约保证金退付意见书（参考）</w:t>
      </w:r>
    </w:p>
    <w:p w14:paraId="2C220D15">
      <w:pPr>
        <w:jc w:val="center"/>
        <w:rPr>
          <w:rFonts w:ascii="黑体" w:hAnsi="黑体" w:eastAsia="黑体"/>
          <w:sz w:val="36"/>
          <w:szCs w:val="36"/>
        </w:rPr>
      </w:pPr>
      <w:r>
        <w:rPr>
          <w:rFonts w:hint="eastAsia" w:ascii="宋体" w:hAnsi="宋体" w:cs="宋体"/>
          <w:b/>
          <w:bCs/>
          <w:kern w:val="0"/>
          <w:sz w:val="18"/>
          <w:szCs w:val="18"/>
        </w:rPr>
        <w:t>（本项目如有，可以参考使用）</w:t>
      </w:r>
    </w:p>
    <w:tbl>
      <w:tblPr>
        <w:tblStyle w:val="2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456"/>
      </w:tblGrid>
      <w:tr w14:paraId="1792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14:paraId="7D6EFDAA">
            <w:pPr>
              <w:jc w:val="center"/>
              <w:rPr>
                <w:sz w:val="24"/>
              </w:rPr>
            </w:pPr>
            <w:r>
              <w:rPr>
                <w:rFonts w:hint="eastAsia"/>
                <w:sz w:val="24"/>
              </w:rPr>
              <w:t>供</w:t>
            </w:r>
          </w:p>
          <w:p w14:paraId="2DC284D8">
            <w:pPr>
              <w:jc w:val="center"/>
              <w:rPr>
                <w:sz w:val="24"/>
              </w:rPr>
            </w:pPr>
            <w:r>
              <w:rPr>
                <w:rFonts w:hint="eastAsia"/>
                <w:sz w:val="24"/>
              </w:rPr>
              <w:t>应</w:t>
            </w:r>
          </w:p>
          <w:p w14:paraId="6C11AA04">
            <w:pPr>
              <w:jc w:val="center"/>
              <w:rPr>
                <w:sz w:val="24"/>
              </w:rPr>
            </w:pPr>
            <w:r>
              <w:rPr>
                <w:rFonts w:hint="eastAsia"/>
                <w:sz w:val="24"/>
              </w:rPr>
              <w:t>商</w:t>
            </w:r>
          </w:p>
          <w:p w14:paraId="1FE6E986">
            <w:pPr>
              <w:jc w:val="center"/>
              <w:rPr>
                <w:sz w:val="24"/>
              </w:rPr>
            </w:pPr>
            <w:r>
              <w:rPr>
                <w:rFonts w:hint="eastAsia"/>
                <w:sz w:val="24"/>
              </w:rPr>
              <w:t>申</w:t>
            </w:r>
          </w:p>
          <w:p w14:paraId="205ADCB7">
            <w:pPr>
              <w:jc w:val="center"/>
              <w:rPr>
                <w:sz w:val="24"/>
              </w:rPr>
            </w:pPr>
            <w:r>
              <w:rPr>
                <w:rFonts w:hint="eastAsia"/>
                <w:sz w:val="24"/>
              </w:rPr>
              <w:t>请</w:t>
            </w:r>
          </w:p>
        </w:tc>
        <w:tc>
          <w:tcPr>
            <w:tcW w:w="8456" w:type="dxa"/>
            <w:vAlign w:val="center"/>
          </w:tcPr>
          <w:p w14:paraId="2A9306D7">
            <w:pPr>
              <w:rPr>
                <w:sz w:val="24"/>
              </w:rPr>
            </w:pPr>
            <w:r>
              <w:rPr>
                <w:rFonts w:hint="eastAsia"/>
                <w:sz w:val="24"/>
              </w:rPr>
              <w:t>项目编号：</w:t>
            </w:r>
          </w:p>
        </w:tc>
      </w:tr>
      <w:tr w14:paraId="7FA9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14:paraId="0E89FA8E">
            <w:pPr>
              <w:rPr>
                <w:sz w:val="24"/>
              </w:rPr>
            </w:pPr>
          </w:p>
        </w:tc>
        <w:tc>
          <w:tcPr>
            <w:tcW w:w="8456" w:type="dxa"/>
            <w:vAlign w:val="center"/>
          </w:tcPr>
          <w:p w14:paraId="04C2048A">
            <w:pPr>
              <w:rPr>
                <w:sz w:val="24"/>
              </w:rPr>
            </w:pPr>
            <w:r>
              <w:rPr>
                <w:rFonts w:hint="eastAsia"/>
                <w:sz w:val="24"/>
              </w:rPr>
              <w:t>项目名称：</w:t>
            </w:r>
          </w:p>
        </w:tc>
      </w:tr>
      <w:tr w14:paraId="2D12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tcPr>
          <w:p w14:paraId="6ED900F7">
            <w:pPr>
              <w:rPr>
                <w:sz w:val="24"/>
              </w:rPr>
            </w:pPr>
          </w:p>
        </w:tc>
        <w:tc>
          <w:tcPr>
            <w:tcW w:w="8456" w:type="dxa"/>
          </w:tcPr>
          <w:p w14:paraId="2E42DF8B">
            <w:pPr>
              <w:rPr>
                <w:sz w:val="24"/>
              </w:rPr>
            </w:pPr>
          </w:p>
          <w:p w14:paraId="5D8C883C">
            <w:pPr>
              <w:spacing w:line="400" w:lineRule="exact"/>
              <w:ind w:firstLine="480" w:firstLineChars="200"/>
              <w:rPr>
                <w:sz w:val="24"/>
              </w:rPr>
            </w:pPr>
            <w:r>
              <w:rPr>
                <w:rFonts w:hint="eastAsia"/>
                <w:sz w:val="24"/>
              </w:rPr>
              <w:t>该项目已于年月日验收并交付使用。根据合同规定，该项目的履约保证金期限于年月日已满，请将履约保证金</w:t>
            </w:r>
          </w:p>
          <w:p w14:paraId="3601562C">
            <w:pPr>
              <w:spacing w:line="400" w:lineRule="exact"/>
              <w:rPr>
                <w:sz w:val="24"/>
              </w:rPr>
            </w:pPr>
            <w:r>
              <w:rPr>
                <w:rFonts w:hint="eastAsia"/>
                <w:sz w:val="24"/>
              </w:rPr>
              <w:t>（大写）￥（小写）退付到达以下帐户。</w:t>
            </w:r>
          </w:p>
          <w:p w14:paraId="707414E6">
            <w:pPr>
              <w:spacing w:line="400" w:lineRule="exact"/>
              <w:ind w:firstLine="705"/>
              <w:rPr>
                <w:sz w:val="24"/>
              </w:rPr>
            </w:pPr>
            <w:r>
              <w:rPr>
                <w:rFonts w:hint="eastAsia"/>
                <w:sz w:val="24"/>
              </w:rPr>
              <w:t>单位名称：</w:t>
            </w:r>
          </w:p>
          <w:p w14:paraId="032ECBD0">
            <w:pPr>
              <w:spacing w:line="400" w:lineRule="exact"/>
              <w:ind w:firstLine="705"/>
              <w:rPr>
                <w:sz w:val="24"/>
              </w:rPr>
            </w:pPr>
            <w:r>
              <w:rPr>
                <w:rFonts w:hint="eastAsia"/>
                <w:sz w:val="24"/>
              </w:rPr>
              <w:t>开户银行：</w:t>
            </w:r>
          </w:p>
          <w:p w14:paraId="470C7E52">
            <w:pPr>
              <w:spacing w:line="400" w:lineRule="exact"/>
              <w:ind w:firstLine="705"/>
              <w:rPr>
                <w:sz w:val="24"/>
              </w:rPr>
            </w:pPr>
            <w:r>
              <w:rPr>
                <w:rFonts w:hint="eastAsia"/>
                <w:sz w:val="24"/>
              </w:rPr>
              <w:t>帐号：</w:t>
            </w:r>
          </w:p>
          <w:p w14:paraId="43BDA153">
            <w:pPr>
              <w:spacing w:line="400" w:lineRule="exact"/>
              <w:rPr>
                <w:sz w:val="24"/>
              </w:rPr>
            </w:pPr>
            <w:r>
              <w:rPr>
                <w:rFonts w:hint="eastAsia"/>
                <w:sz w:val="24"/>
              </w:rPr>
              <w:t>联系人及电话：</w:t>
            </w:r>
          </w:p>
          <w:p w14:paraId="6ACB0AF0">
            <w:pPr>
              <w:spacing w:line="400" w:lineRule="exact"/>
              <w:rPr>
                <w:sz w:val="24"/>
              </w:rPr>
            </w:pPr>
          </w:p>
          <w:p w14:paraId="7F0B6195">
            <w:pPr>
              <w:spacing w:line="520" w:lineRule="exact"/>
              <w:jc w:val="center"/>
              <w:rPr>
                <w:sz w:val="24"/>
              </w:rPr>
            </w:pPr>
            <w:r>
              <w:rPr>
                <w:rFonts w:hint="eastAsia"/>
                <w:sz w:val="24"/>
              </w:rPr>
              <w:t>投标人签章：</w:t>
            </w:r>
          </w:p>
          <w:p w14:paraId="26CD38BA">
            <w:pPr>
              <w:spacing w:line="520" w:lineRule="exact"/>
              <w:jc w:val="center"/>
              <w:rPr>
                <w:sz w:val="24"/>
              </w:rPr>
            </w:pPr>
            <w:r>
              <w:rPr>
                <w:rFonts w:hint="eastAsia"/>
                <w:sz w:val="24"/>
              </w:rPr>
              <w:t>年月日</w:t>
            </w:r>
          </w:p>
        </w:tc>
      </w:tr>
      <w:tr w14:paraId="3933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1008" w:type="dxa"/>
            <w:vAlign w:val="center"/>
          </w:tcPr>
          <w:p w14:paraId="4668A7DF">
            <w:pPr>
              <w:jc w:val="center"/>
              <w:rPr>
                <w:sz w:val="24"/>
              </w:rPr>
            </w:pPr>
            <w:r>
              <w:rPr>
                <w:rFonts w:hint="eastAsia"/>
                <w:sz w:val="24"/>
              </w:rPr>
              <w:t>采</w:t>
            </w:r>
          </w:p>
          <w:p w14:paraId="66A6888C">
            <w:pPr>
              <w:jc w:val="center"/>
              <w:rPr>
                <w:sz w:val="24"/>
              </w:rPr>
            </w:pPr>
            <w:r>
              <w:rPr>
                <w:rFonts w:hint="eastAsia"/>
                <w:sz w:val="24"/>
              </w:rPr>
              <w:t>购</w:t>
            </w:r>
          </w:p>
          <w:p w14:paraId="69C65E57">
            <w:pPr>
              <w:jc w:val="center"/>
              <w:rPr>
                <w:sz w:val="24"/>
              </w:rPr>
            </w:pPr>
            <w:r>
              <w:rPr>
                <w:rFonts w:hint="eastAsia"/>
                <w:sz w:val="24"/>
              </w:rPr>
              <w:t>人</w:t>
            </w:r>
          </w:p>
          <w:p w14:paraId="45FE51D1">
            <w:pPr>
              <w:jc w:val="center"/>
              <w:rPr>
                <w:sz w:val="24"/>
              </w:rPr>
            </w:pPr>
            <w:r>
              <w:rPr>
                <w:rFonts w:hint="eastAsia"/>
                <w:sz w:val="24"/>
              </w:rPr>
              <w:t>意</w:t>
            </w:r>
          </w:p>
          <w:p w14:paraId="76891851">
            <w:pPr>
              <w:jc w:val="center"/>
              <w:rPr>
                <w:sz w:val="24"/>
              </w:rPr>
            </w:pPr>
            <w:r>
              <w:rPr>
                <w:rFonts w:hint="eastAsia"/>
                <w:sz w:val="24"/>
              </w:rPr>
              <w:t>见</w:t>
            </w:r>
          </w:p>
        </w:tc>
        <w:tc>
          <w:tcPr>
            <w:tcW w:w="8456" w:type="dxa"/>
          </w:tcPr>
          <w:p w14:paraId="189AE9D5">
            <w:pPr>
              <w:rPr>
                <w:sz w:val="24"/>
              </w:rPr>
            </w:pPr>
          </w:p>
          <w:p w14:paraId="5FAF9AB3">
            <w:pPr>
              <w:rPr>
                <w:sz w:val="24"/>
              </w:rPr>
            </w:pPr>
            <w:r>
              <w:rPr>
                <w:rFonts w:hint="eastAsia"/>
                <w:sz w:val="24"/>
              </w:rPr>
              <w:t>退付意见：（是否同意退付履约保证金及退付金额）</w:t>
            </w:r>
          </w:p>
          <w:p w14:paraId="31519241">
            <w:pPr>
              <w:rPr>
                <w:sz w:val="24"/>
              </w:rPr>
            </w:pPr>
          </w:p>
          <w:p w14:paraId="134ADDEC">
            <w:pPr>
              <w:rPr>
                <w:sz w:val="24"/>
              </w:rPr>
            </w:pPr>
          </w:p>
          <w:p w14:paraId="6F5A2CF2">
            <w:pPr>
              <w:rPr>
                <w:sz w:val="24"/>
              </w:rPr>
            </w:pPr>
          </w:p>
          <w:p w14:paraId="5BD8817D">
            <w:pPr>
              <w:rPr>
                <w:sz w:val="24"/>
              </w:rPr>
            </w:pPr>
          </w:p>
          <w:p w14:paraId="436C68F7">
            <w:pPr>
              <w:spacing w:line="520" w:lineRule="exact"/>
              <w:rPr>
                <w:sz w:val="24"/>
              </w:rPr>
            </w:pPr>
            <w:r>
              <w:rPr>
                <w:rFonts w:hint="eastAsia"/>
                <w:sz w:val="24"/>
              </w:rPr>
              <w:t>联系人及电话：采购人签章</w:t>
            </w:r>
          </w:p>
          <w:p w14:paraId="041A00A1">
            <w:pPr>
              <w:spacing w:line="520" w:lineRule="exact"/>
              <w:jc w:val="center"/>
              <w:rPr>
                <w:sz w:val="24"/>
              </w:rPr>
            </w:pPr>
            <w:r>
              <w:rPr>
                <w:rFonts w:hint="eastAsia"/>
                <w:sz w:val="24"/>
              </w:rPr>
              <w:t>年月日</w:t>
            </w:r>
          </w:p>
        </w:tc>
      </w:tr>
      <w:tr w14:paraId="03B5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008" w:type="dxa"/>
            <w:vAlign w:val="center"/>
          </w:tcPr>
          <w:p w14:paraId="00517F8B">
            <w:pPr>
              <w:jc w:val="center"/>
              <w:rPr>
                <w:sz w:val="24"/>
              </w:rPr>
            </w:pPr>
            <w:r>
              <w:rPr>
                <w:rFonts w:hint="eastAsia"/>
                <w:sz w:val="24"/>
              </w:rPr>
              <w:t>备注</w:t>
            </w:r>
          </w:p>
        </w:tc>
        <w:tc>
          <w:tcPr>
            <w:tcW w:w="8456" w:type="dxa"/>
          </w:tcPr>
          <w:p w14:paraId="30AC5134">
            <w:pPr>
              <w:rPr>
                <w:sz w:val="24"/>
              </w:rPr>
            </w:pPr>
          </w:p>
        </w:tc>
      </w:tr>
    </w:tbl>
    <w:p w14:paraId="3246B467">
      <w:pPr>
        <w:pStyle w:val="12"/>
        <w:ind w:left="420" w:leftChars="114" w:hanging="181" w:hangingChars="100"/>
        <w:rPr>
          <w:rFonts w:ascii="宋体"/>
          <w:b/>
          <w:bCs/>
          <w:sz w:val="18"/>
        </w:rPr>
      </w:pPr>
      <w:r>
        <w:rPr>
          <w:rFonts w:hint="eastAsia" w:ascii="宋体"/>
          <w:b/>
          <w:bCs/>
          <w:sz w:val="18"/>
        </w:rPr>
        <w:t>注：投标人凭经采购人审批的退付意见书到保证金收取单位办理履约保证金退付事宜。</w:t>
      </w:r>
    </w:p>
    <w:p w14:paraId="6E5A8C16">
      <w:pPr>
        <w:pStyle w:val="15"/>
        <w:snapToGrid w:val="0"/>
        <w:spacing w:before="120" w:after="120"/>
        <w:rPr>
          <w:rFonts w:hAnsi="宋体"/>
        </w:rPr>
      </w:pPr>
    </w:p>
    <w:p w14:paraId="2E694B1A">
      <w:pPr>
        <w:pStyle w:val="4"/>
        <w:keepNext w:val="0"/>
        <w:keepLines w:val="0"/>
        <w:jc w:val="center"/>
      </w:pPr>
      <w:r>
        <w:rPr>
          <w:rFonts w:hAnsi="宋体"/>
        </w:rPr>
        <w:br w:type="page"/>
      </w:r>
      <w:bookmarkStart w:id="131" w:name="_Toc27672"/>
      <w:bookmarkStart w:id="132" w:name="_Toc254970548"/>
      <w:bookmarkStart w:id="133" w:name="_Toc254970689"/>
      <w:bookmarkStart w:id="134" w:name="_Toc27810"/>
      <w:bookmarkStart w:id="135" w:name="_Toc330456896"/>
      <w:r>
        <w:rPr>
          <w:rFonts w:hint="eastAsia"/>
        </w:rPr>
        <w:t>第四章评标方法及评标标准</w:t>
      </w:r>
      <w:bookmarkEnd w:id="131"/>
      <w:bookmarkEnd w:id="132"/>
      <w:bookmarkEnd w:id="133"/>
      <w:bookmarkEnd w:id="134"/>
      <w:bookmarkEnd w:id="135"/>
    </w:p>
    <w:p w14:paraId="4B0F744A">
      <w:pPr>
        <w:pStyle w:val="15"/>
        <w:spacing w:line="360" w:lineRule="exact"/>
        <w:rPr>
          <w:rFonts w:hAnsi="宋体"/>
          <w:bCs/>
        </w:rPr>
      </w:pPr>
    </w:p>
    <w:p w14:paraId="0534E9A0">
      <w:pPr>
        <w:pStyle w:val="5"/>
        <w:keepNext w:val="0"/>
        <w:keepLines w:val="0"/>
        <w:jc w:val="center"/>
      </w:pPr>
      <w:r>
        <w:rPr>
          <w:rFonts w:hint="eastAsia"/>
        </w:rPr>
        <w:t>第一节评标方法</w:t>
      </w:r>
    </w:p>
    <w:p w14:paraId="5C1DBB49">
      <w:pPr>
        <w:tabs>
          <w:tab w:val="left" w:pos="2472"/>
        </w:tabs>
        <w:spacing w:line="360" w:lineRule="auto"/>
        <w:ind w:firstLine="420" w:firstLineChars="200"/>
        <w:rPr>
          <w:rFonts w:ascii="宋体" w:hAnsi="Courier New"/>
          <w:szCs w:val="21"/>
        </w:rPr>
      </w:pPr>
      <w:r>
        <w:rPr>
          <w:rFonts w:hint="eastAsia" w:ascii="宋体" w:hAnsi="宋体" w:cs="宋体"/>
          <w:szCs w:val="21"/>
        </w:rPr>
        <w:t>本项目采用</w:t>
      </w:r>
      <w:r>
        <w:rPr>
          <w:rFonts w:hint="eastAsia" w:ascii="宋体" w:hAnsi="宋体" w:cs="宋体"/>
          <w:szCs w:val="21"/>
          <w:u w:val="single"/>
        </w:rPr>
        <w:t>以下勾选的方式</w:t>
      </w:r>
      <w:r>
        <w:rPr>
          <w:rFonts w:hint="eastAsia" w:ascii="宋体" w:hAnsi="宋体" w:cs="宋体"/>
          <w:szCs w:val="21"/>
        </w:rPr>
        <w:t>进行评审。</w:t>
      </w:r>
    </w:p>
    <w:p w14:paraId="66F81FC7">
      <w:pPr>
        <w:spacing w:line="360" w:lineRule="auto"/>
        <w:ind w:firstLine="420"/>
        <w:rPr>
          <w:rFonts w:ascii="宋体" w:hAnsi="宋体"/>
          <w:szCs w:val="20"/>
        </w:rPr>
      </w:pPr>
      <w:r>
        <w:rPr>
          <w:rFonts w:hint="eastAsia" w:ascii="宋体" w:hAnsi="宋体"/>
          <w:szCs w:val="21"/>
        </w:rPr>
        <w:t>□最低评标价法，是指投标文件满足招标文件</w:t>
      </w:r>
      <w:r>
        <w:rPr>
          <w:rFonts w:hint="eastAsia" w:ascii="宋体" w:hAnsi="宋体"/>
          <w:szCs w:val="20"/>
        </w:rPr>
        <w:t>全部实质性要求，且投标报价最低的投标人为中标候选人的评标方法。</w:t>
      </w:r>
    </w:p>
    <w:p w14:paraId="2BB28A29">
      <w:pPr>
        <w:autoSpaceDE w:val="0"/>
        <w:autoSpaceDN w:val="0"/>
        <w:adjustRightInd w:val="0"/>
        <w:spacing w:line="360" w:lineRule="auto"/>
        <w:ind w:firstLine="420" w:firstLineChars="200"/>
        <w:rPr>
          <w:rFonts w:ascii="宋体" w:hAnsi="宋体"/>
          <w:sz w:val="24"/>
        </w:rPr>
      </w:pPr>
      <w:r>
        <w:rPr>
          <w:rFonts w:hint="eastAsia" w:hAnsi="宋体"/>
        </w:rPr>
        <w:t>☑综合评分法，</w:t>
      </w:r>
      <w:r>
        <w:rPr>
          <w:rFonts w:hint="eastAsia" w:ascii="宋体" w:hAnsi="宋体"/>
          <w:szCs w:val="20"/>
        </w:rPr>
        <w:t>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w:t>
      </w:r>
      <w:r>
        <w:rPr>
          <w:rFonts w:hint="eastAsia"/>
        </w:rPr>
        <w:t>评标委员会各成员</w:t>
      </w:r>
      <w:r>
        <w:rPr>
          <w:rFonts w:hint="eastAsia" w:ascii="宋体" w:hAnsi="宋体"/>
          <w:szCs w:val="20"/>
        </w:rPr>
        <w:t xml:space="preserve">独立记名打分。经统计，得出各投标人的综合得分,按综合得分由高到低顺序排列。若综合得分相同的，按投标报价由低到高顺序排列。若综合得分且投标报价相同的，货物类采购项目以技术性能得分较高者为先，货物类采购项目以实力信誉及业绩得分较高者为先。 </w:t>
      </w:r>
    </w:p>
    <w:p w14:paraId="4CE4DBC4">
      <w:pPr>
        <w:pStyle w:val="15"/>
        <w:spacing w:line="360" w:lineRule="auto"/>
        <w:ind w:firstLine="420"/>
        <w:rPr>
          <w:rFonts w:hAnsi="宋体"/>
          <w:sz w:val="21"/>
        </w:rPr>
      </w:pPr>
    </w:p>
    <w:p w14:paraId="22C6F368">
      <w:pPr>
        <w:pStyle w:val="5"/>
        <w:keepNext w:val="0"/>
        <w:keepLines w:val="0"/>
        <w:jc w:val="center"/>
      </w:pPr>
      <w:r>
        <w:rPr>
          <w:rFonts w:hint="eastAsia"/>
        </w:rPr>
        <w:t>第二节评标程序</w:t>
      </w:r>
    </w:p>
    <w:p w14:paraId="7A007F5E">
      <w:pPr>
        <w:pStyle w:val="7"/>
        <w:keepNext w:val="0"/>
        <w:keepLines w:val="0"/>
        <w:spacing w:before="0" w:after="0" w:line="360" w:lineRule="auto"/>
        <w:ind w:left="420" w:leftChars="200"/>
        <w:rPr>
          <w:rFonts w:ascii="宋体" w:hAnsi="宋体"/>
          <w:sz w:val="21"/>
          <w:szCs w:val="21"/>
        </w:rPr>
      </w:pPr>
      <w:r>
        <w:rPr>
          <w:rFonts w:hint="eastAsia" w:ascii="宋体" w:hAnsi="宋体"/>
          <w:sz w:val="21"/>
          <w:szCs w:val="21"/>
        </w:rPr>
        <w:t>1.符合性审查</w:t>
      </w:r>
    </w:p>
    <w:p w14:paraId="083EBB22">
      <w:pPr>
        <w:pStyle w:val="15"/>
        <w:snapToGrid w:val="0"/>
        <w:spacing w:line="360" w:lineRule="auto"/>
        <w:ind w:left="1" w:firstLine="420"/>
        <w:rPr>
          <w:rFonts w:hAnsi="宋体"/>
          <w:bCs/>
          <w:kern w:val="2"/>
          <w:sz w:val="21"/>
        </w:rPr>
      </w:pPr>
      <w:r>
        <w:rPr>
          <w:rFonts w:hint="eastAsia" w:hAnsi="宋体"/>
          <w:bCs/>
          <w:kern w:val="2"/>
          <w:sz w:val="21"/>
        </w:rPr>
        <w:t>评标委员会应当对符合资格的投标人的投标文件进行投标报价、商务、技术等实质性内容符合性审查，以确定其是否满足招标文件的实质性要求。</w:t>
      </w:r>
    </w:p>
    <w:p w14:paraId="21382926">
      <w:pPr>
        <w:pStyle w:val="7"/>
        <w:keepNext w:val="0"/>
        <w:keepLines w:val="0"/>
        <w:spacing w:before="0" w:after="0" w:line="360" w:lineRule="auto"/>
        <w:ind w:left="420" w:leftChars="200"/>
        <w:rPr>
          <w:rFonts w:ascii="宋体" w:hAnsi="宋体"/>
          <w:sz w:val="21"/>
          <w:szCs w:val="21"/>
        </w:rPr>
      </w:pPr>
      <w:r>
        <w:rPr>
          <w:rFonts w:hint="eastAsia" w:ascii="宋体" w:hAnsi="宋体"/>
          <w:sz w:val="21"/>
          <w:szCs w:val="21"/>
        </w:rPr>
        <w:t>2</w:t>
      </w:r>
      <w:r>
        <w:rPr>
          <w:rFonts w:ascii="宋体" w:hAnsi="宋体"/>
          <w:sz w:val="21"/>
          <w:szCs w:val="21"/>
        </w:rPr>
        <w:t>.</w:t>
      </w:r>
      <w:r>
        <w:rPr>
          <w:rFonts w:hint="eastAsia" w:ascii="宋体" w:hAnsi="宋体"/>
          <w:sz w:val="21"/>
          <w:szCs w:val="21"/>
        </w:rPr>
        <w:t>符合性审查不通过而导致投标无效的情形</w:t>
      </w:r>
    </w:p>
    <w:p w14:paraId="0B8B9586">
      <w:pPr>
        <w:snapToGrid w:val="0"/>
        <w:spacing w:line="360" w:lineRule="auto"/>
        <w:ind w:firstLine="420" w:firstLineChars="200"/>
        <w:rPr>
          <w:rFonts w:ascii="宋体" w:hAnsi="宋体"/>
          <w:bCs/>
          <w:szCs w:val="21"/>
        </w:rPr>
      </w:pPr>
      <w:r>
        <w:rPr>
          <w:rFonts w:hint="eastAsia" w:ascii="宋体" w:hAnsi="宋体"/>
          <w:bCs/>
          <w:szCs w:val="21"/>
        </w:rPr>
        <w:t>投标人的投标文件中存在对招标文件的任何实质性要求和条件的负偏离，将被视为投标无效。</w:t>
      </w:r>
    </w:p>
    <w:p w14:paraId="7E43BEAA">
      <w:pPr>
        <w:pStyle w:val="7"/>
        <w:keepNext w:val="0"/>
        <w:keepLines w:val="0"/>
        <w:spacing w:before="0" w:after="0" w:line="360" w:lineRule="auto"/>
        <w:ind w:left="420" w:leftChars="200"/>
        <w:rPr>
          <w:rFonts w:ascii="宋体" w:hAnsi="宋体"/>
          <w:sz w:val="21"/>
          <w:szCs w:val="21"/>
        </w:rPr>
      </w:pPr>
      <w:r>
        <w:rPr>
          <w:rFonts w:hint="eastAsia" w:ascii="宋体" w:hAnsi="宋体"/>
          <w:sz w:val="21"/>
          <w:szCs w:val="21"/>
        </w:rPr>
        <w:t>2.1在报价评审时，如发现下列情形之一的，将被视为投标无效：</w:t>
      </w:r>
    </w:p>
    <w:p w14:paraId="3B676068">
      <w:pPr>
        <w:pStyle w:val="2"/>
        <w:spacing w:line="360" w:lineRule="auto"/>
        <w:ind w:firstLineChars="200"/>
        <w:rPr>
          <w:rFonts w:ascii="宋体" w:hAnsi="宋体"/>
          <w:bCs/>
          <w:szCs w:val="21"/>
        </w:rPr>
      </w:pPr>
      <w:r>
        <w:rPr>
          <w:rFonts w:hint="eastAsia" w:ascii="宋体" w:hAnsi="宋体"/>
          <w:bCs/>
          <w:szCs w:val="21"/>
        </w:rPr>
        <w:t>（1）投标文件未提供“投标人须知前附表”第13.1条规定中“必须提供”的文件资料的；</w:t>
      </w:r>
    </w:p>
    <w:p w14:paraId="16ED4546">
      <w:pPr>
        <w:pStyle w:val="2"/>
        <w:spacing w:line="360" w:lineRule="auto"/>
        <w:ind w:firstLineChars="200"/>
        <w:rPr>
          <w:rFonts w:ascii="宋体" w:hAnsi="宋体"/>
          <w:bCs/>
          <w:szCs w:val="21"/>
        </w:rPr>
      </w:pPr>
      <w:r>
        <w:rPr>
          <w:rFonts w:hint="eastAsia" w:ascii="宋体" w:hAnsi="宋体"/>
          <w:bCs/>
          <w:szCs w:val="21"/>
        </w:rPr>
        <w:t>（2）未采用人民币报价或者未按照招标文件标明的币种报价的；</w:t>
      </w:r>
    </w:p>
    <w:p w14:paraId="64633F9B">
      <w:pPr>
        <w:pStyle w:val="2"/>
        <w:spacing w:line="360" w:lineRule="auto"/>
        <w:ind w:firstLineChars="200"/>
        <w:rPr>
          <w:rFonts w:ascii="宋体" w:hAnsi="宋体"/>
          <w:bCs/>
          <w:szCs w:val="21"/>
        </w:rPr>
      </w:pPr>
      <w:r>
        <w:rPr>
          <w:rFonts w:hint="eastAsia" w:ascii="宋体" w:hAnsi="宋体"/>
          <w:bCs/>
          <w:szCs w:val="21"/>
        </w:rPr>
        <w:t>（3）报价超出招标文件规定最高限价，或者超出采购预算金额的；</w:t>
      </w:r>
    </w:p>
    <w:p w14:paraId="34970893">
      <w:pPr>
        <w:pStyle w:val="2"/>
        <w:spacing w:line="360" w:lineRule="auto"/>
        <w:ind w:firstLineChars="200"/>
        <w:rPr>
          <w:rFonts w:ascii="宋体" w:hAnsi="宋体"/>
          <w:bCs/>
          <w:szCs w:val="21"/>
        </w:rPr>
      </w:pPr>
      <w:r>
        <w:rPr>
          <w:rFonts w:hint="eastAsia" w:ascii="宋体" w:hAnsi="宋体"/>
          <w:bCs/>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7DDD3192">
      <w:pPr>
        <w:pStyle w:val="2"/>
        <w:spacing w:line="360" w:lineRule="auto"/>
        <w:ind w:firstLineChars="200"/>
        <w:rPr>
          <w:rFonts w:ascii="宋体" w:hAnsi="宋体"/>
          <w:bCs/>
          <w:szCs w:val="21"/>
        </w:rPr>
      </w:pPr>
      <w:r>
        <w:rPr>
          <w:rFonts w:hint="eastAsia" w:ascii="宋体" w:hAnsi="宋体"/>
          <w:bCs/>
          <w:szCs w:val="21"/>
        </w:rPr>
        <w:t>（5）修正后的报价，投标人不确认的；</w:t>
      </w:r>
    </w:p>
    <w:p w14:paraId="277071C1">
      <w:pPr>
        <w:pStyle w:val="2"/>
        <w:spacing w:line="360" w:lineRule="auto"/>
        <w:ind w:firstLineChars="200"/>
        <w:rPr>
          <w:rFonts w:ascii="宋体" w:hAnsi="宋体"/>
          <w:bCs/>
          <w:szCs w:val="21"/>
        </w:rPr>
      </w:pPr>
      <w:r>
        <w:rPr>
          <w:rFonts w:hint="eastAsia" w:ascii="宋体" w:hAnsi="宋体"/>
          <w:bCs/>
          <w:szCs w:val="21"/>
        </w:rPr>
        <w:t>（6）投标人属于本章第</w:t>
      </w:r>
      <w:r>
        <w:rPr>
          <w:rFonts w:ascii="宋体" w:hAnsi="宋体"/>
          <w:bCs/>
          <w:szCs w:val="21"/>
        </w:rPr>
        <w:t>5</w:t>
      </w:r>
      <w:r>
        <w:rPr>
          <w:rFonts w:hint="eastAsia" w:ascii="宋体" w:hAnsi="宋体"/>
          <w:bCs/>
          <w:szCs w:val="21"/>
        </w:rPr>
        <w:t>条第（2）项情形的。</w:t>
      </w:r>
    </w:p>
    <w:p w14:paraId="35F9FEEF">
      <w:pPr>
        <w:pStyle w:val="7"/>
        <w:keepNext w:val="0"/>
        <w:keepLines w:val="0"/>
        <w:spacing w:before="0" w:after="0" w:line="360" w:lineRule="auto"/>
        <w:ind w:left="420" w:leftChars="200"/>
        <w:rPr>
          <w:rFonts w:ascii="宋体" w:hAnsi="宋体"/>
          <w:sz w:val="21"/>
          <w:szCs w:val="21"/>
        </w:rPr>
      </w:pPr>
      <w:r>
        <w:rPr>
          <w:rFonts w:hint="eastAsia" w:ascii="宋体" w:hAnsi="宋体"/>
          <w:sz w:val="21"/>
          <w:szCs w:val="21"/>
        </w:rPr>
        <w:t>2.2在商务评审时，如发现下列情形之一的，将被视为投标无效：</w:t>
      </w:r>
    </w:p>
    <w:p w14:paraId="36F9B562">
      <w:pPr>
        <w:snapToGrid w:val="0"/>
        <w:spacing w:line="360" w:lineRule="auto"/>
        <w:ind w:firstLine="420" w:firstLineChars="200"/>
        <w:rPr>
          <w:rFonts w:ascii="宋体" w:hAnsi="宋体"/>
          <w:bCs/>
          <w:szCs w:val="21"/>
        </w:rPr>
      </w:pPr>
      <w:r>
        <w:rPr>
          <w:rFonts w:hint="eastAsia" w:ascii="宋体" w:hAnsi="宋体"/>
          <w:bCs/>
          <w:szCs w:val="21"/>
        </w:rPr>
        <w:t>（1）投标文件未按招标文件要求签署、盖章的；</w:t>
      </w:r>
    </w:p>
    <w:p w14:paraId="763690BB">
      <w:pPr>
        <w:snapToGrid w:val="0"/>
        <w:spacing w:line="360" w:lineRule="auto"/>
        <w:ind w:firstLine="420" w:firstLineChars="200"/>
        <w:rPr>
          <w:rFonts w:ascii="宋体" w:hAnsi="宋体"/>
          <w:bCs/>
          <w:szCs w:val="21"/>
        </w:rPr>
      </w:pPr>
      <w:r>
        <w:rPr>
          <w:rFonts w:hint="eastAsia" w:ascii="宋体" w:hAnsi="宋体"/>
          <w:bCs/>
          <w:szCs w:val="21"/>
        </w:rPr>
        <w:t xml:space="preserve">（2）委托代理人未能出具有效身份证明或者出具的身份证明与授权委托书中的信息不符的； </w:t>
      </w:r>
    </w:p>
    <w:p w14:paraId="5527113D">
      <w:pPr>
        <w:snapToGrid w:val="0"/>
        <w:spacing w:line="360" w:lineRule="auto"/>
        <w:ind w:firstLine="420" w:firstLineChars="200"/>
        <w:rPr>
          <w:rFonts w:ascii="宋体" w:hAnsi="宋体"/>
          <w:bCs/>
          <w:szCs w:val="21"/>
        </w:rPr>
      </w:pPr>
      <w:r>
        <w:rPr>
          <w:rFonts w:hint="eastAsia" w:ascii="宋体" w:hAnsi="宋体"/>
          <w:bCs/>
          <w:szCs w:val="21"/>
        </w:rPr>
        <w:t>（3）为无效投标保证金的或者未按照招标文件的规定提交投标保证金的；</w:t>
      </w:r>
    </w:p>
    <w:p w14:paraId="1184DE07">
      <w:pPr>
        <w:snapToGrid w:val="0"/>
        <w:spacing w:line="360" w:lineRule="auto"/>
        <w:ind w:firstLine="420" w:firstLineChars="200"/>
        <w:rPr>
          <w:rFonts w:ascii="宋体" w:hAnsi="宋体"/>
          <w:bCs/>
          <w:szCs w:val="21"/>
        </w:rPr>
      </w:pPr>
      <w:r>
        <w:rPr>
          <w:rFonts w:hint="eastAsia" w:ascii="宋体" w:hAnsi="宋体"/>
          <w:bCs/>
          <w:szCs w:val="21"/>
        </w:rPr>
        <w:t>（4）投标文件未提供“投标人须知前附表”第13.</w:t>
      </w:r>
      <w:r>
        <w:rPr>
          <w:rFonts w:ascii="宋体" w:hAnsi="宋体"/>
          <w:bCs/>
          <w:szCs w:val="21"/>
        </w:rPr>
        <w:t>1</w:t>
      </w:r>
      <w:r>
        <w:rPr>
          <w:rFonts w:hint="eastAsia" w:ascii="宋体" w:hAnsi="宋体"/>
          <w:bCs/>
          <w:szCs w:val="21"/>
        </w:rPr>
        <w:t>条规定中“必须提供”或者“委托时必须提供”的文件资料的；</w:t>
      </w:r>
    </w:p>
    <w:p w14:paraId="14DC350B">
      <w:pPr>
        <w:snapToGrid w:val="0"/>
        <w:spacing w:line="360" w:lineRule="auto"/>
        <w:ind w:firstLine="420" w:firstLineChars="200"/>
        <w:rPr>
          <w:rFonts w:ascii="宋体" w:hAnsi="宋体"/>
          <w:bCs/>
          <w:szCs w:val="21"/>
        </w:rPr>
      </w:pPr>
      <w:r>
        <w:rPr>
          <w:rFonts w:hint="eastAsia" w:ascii="宋体" w:hAnsi="宋体"/>
          <w:bCs/>
          <w:szCs w:val="21"/>
        </w:rPr>
        <w:t>（5）投标有效期、项目完成时间（交货时间、服务完成时间或者服务期等）、质保期、售后服务等招标文件中标“★”的商务条款发生负偏离的；</w:t>
      </w:r>
    </w:p>
    <w:p w14:paraId="43FFC3A4">
      <w:pPr>
        <w:snapToGrid w:val="0"/>
        <w:spacing w:line="360" w:lineRule="auto"/>
        <w:ind w:firstLine="420" w:firstLineChars="200"/>
        <w:rPr>
          <w:rFonts w:ascii="宋体" w:hAnsi="宋体"/>
          <w:bCs/>
          <w:szCs w:val="21"/>
        </w:rPr>
      </w:pPr>
      <w:r>
        <w:rPr>
          <w:rFonts w:hint="eastAsia" w:ascii="宋体" w:hAnsi="宋体"/>
          <w:bCs/>
          <w:szCs w:val="21"/>
        </w:rPr>
        <w:t>（6）商务条款评审允许负偏离的条款数超过“投标人须知前附表”规定项数的。</w:t>
      </w:r>
    </w:p>
    <w:p w14:paraId="34DCE491">
      <w:pPr>
        <w:snapToGrid w:val="0"/>
        <w:spacing w:line="360" w:lineRule="auto"/>
        <w:ind w:firstLine="420" w:firstLineChars="200"/>
        <w:rPr>
          <w:rFonts w:ascii="宋体" w:hAnsi="宋体"/>
          <w:bCs/>
          <w:szCs w:val="21"/>
        </w:rPr>
      </w:pPr>
      <w:r>
        <w:rPr>
          <w:rFonts w:hint="eastAsia" w:ascii="宋体" w:hAnsi="宋体"/>
          <w:bCs/>
          <w:szCs w:val="21"/>
        </w:rPr>
        <w:t>（7）投标文件的实质性内容未使用中文表述、使用计量单位不符合招标文件要求的；</w:t>
      </w:r>
    </w:p>
    <w:p w14:paraId="1959E933">
      <w:pPr>
        <w:snapToGrid w:val="0"/>
        <w:spacing w:line="360" w:lineRule="auto"/>
        <w:ind w:firstLine="420" w:firstLineChars="200"/>
        <w:rPr>
          <w:rFonts w:ascii="宋体" w:hAnsi="宋体"/>
          <w:bCs/>
          <w:szCs w:val="21"/>
        </w:rPr>
      </w:pPr>
      <w:r>
        <w:rPr>
          <w:rFonts w:hint="eastAsia" w:ascii="宋体" w:hAnsi="宋体"/>
          <w:bCs/>
          <w:szCs w:val="21"/>
        </w:rPr>
        <w:t>（8）投标文件中的文件资料因填写不齐全或者内容虚假或者出现其他情形而导致被评标委员会认定无效的；</w:t>
      </w:r>
    </w:p>
    <w:p w14:paraId="418DFCD4">
      <w:pPr>
        <w:snapToGrid w:val="0"/>
        <w:spacing w:line="360" w:lineRule="auto"/>
        <w:ind w:firstLine="420" w:firstLineChars="200"/>
        <w:rPr>
          <w:rFonts w:ascii="宋体" w:hAnsi="宋体"/>
          <w:bCs/>
          <w:szCs w:val="21"/>
        </w:rPr>
      </w:pPr>
      <w:r>
        <w:rPr>
          <w:rFonts w:hint="eastAsia" w:ascii="宋体" w:hAnsi="宋体"/>
          <w:bCs/>
          <w:szCs w:val="21"/>
        </w:rPr>
        <w:t>（9）投标文件含有采购人不能接受的附加条件的；</w:t>
      </w:r>
    </w:p>
    <w:p w14:paraId="0ABD9F94">
      <w:pPr>
        <w:snapToGrid w:val="0"/>
        <w:spacing w:line="360" w:lineRule="auto"/>
        <w:ind w:firstLine="420" w:firstLineChars="200"/>
        <w:rPr>
          <w:rFonts w:ascii="宋体" w:hAnsi="宋体"/>
          <w:bCs/>
          <w:szCs w:val="21"/>
        </w:rPr>
      </w:pPr>
      <w:r>
        <w:rPr>
          <w:rFonts w:hint="eastAsia" w:ascii="宋体" w:hAnsi="宋体"/>
          <w:bCs/>
          <w:szCs w:val="21"/>
        </w:rPr>
        <w:t>（10）未响应招标文件实质性要求的；</w:t>
      </w:r>
    </w:p>
    <w:p w14:paraId="74E41DCF">
      <w:pPr>
        <w:snapToGrid w:val="0"/>
        <w:spacing w:line="360" w:lineRule="auto"/>
        <w:ind w:firstLine="420" w:firstLineChars="200"/>
        <w:rPr>
          <w:rFonts w:ascii="宋体" w:hAnsi="宋体"/>
          <w:bCs/>
          <w:szCs w:val="21"/>
        </w:rPr>
      </w:pPr>
      <w:r>
        <w:rPr>
          <w:rFonts w:hint="eastAsia" w:ascii="宋体" w:hAnsi="宋体"/>
          <w:bCs/>
          <w:szCs w:val="21"/>
        </w:rPr>
        <w:t>（11）属于投标人须知正文第</w:t>
      </w:r>
      <w:r>
        <w:rPr>
          <w:rFonts w:ascii="宋体" w:hAnsi="宋体"/>
          <w:bCs/>
          <w:szCs w:val="21"/>
        </w:rPr>
        <w:t>9.2</w:t>
      </w:r>
      <w:r>
        <w:rPr>
          <w:rFonts w:hint="eastAsia" w:ascii="宋体" w:hAnsi="宋体"/>
          <w:bCs/>
          <w:szCs w:val="21"/>
        </w:rPr>
        <w:t>条情形的；</w:t>
      </w:r>
    </w:p>
    <w:p w14:paraId="17D99254">
      <w:pPr>
        <w:snapToGrid w:val="0"/>
        <w:spacing w:line="360" w:lineRule="auto"/>
        <w:ind w:firstLine="420" w:firstLineChars="200"/>
        <w:rPr>
          <w:rFonts w:ascii="宋体" w:hAnsi="宋体"/>
          <w:bCs/>
          <w:szCs w:val="21"/>
        </w:rPr>
      </w:pPr>
      <w:r>
        <w:rPr>
          <w:rFonts w:hint="eastAsia" w:ascii="宋体" w:hAnsi="宋体"/>
          <w:bCs/>
          <w:szCs w:val="21"/>
        </w:rPr>
        <w:t>（12）法律、法规和招标文件规定的其他无效情形。</w:t>
      </w:r>
    </w:p>
    <w:p w14:paraId="7926B5DF">
      <w:pPr>
        <w:pStyle w:val="7"/>
        <w:keepNext w:val="0"/>
        <w:keepLines w:val="0"/>
        <w:spacing w:before="0" w:after="0" w:line="360" w:lineRule="auto"/>
        <w:ind w:left="420" w:leftChars="200"/>
        <w:rPr>
          <w:rFonts w:ascii="宋体" w:hAnsi="宋体"/>
          <w:sz w:val="21"/>
          <w:szCs w:val="21"/>
        </w:rPr>
      </w:pPr>
      <w:r>
        <w:rPr>
          <w:rFonts w:hint="eastAsia" w:ascii="宋体" w:hAnsi="宋体"/>
          <w:sz w:val="21"/>
          <w:szCs w:val="21"/>
        </w:rPr>
        <w:t>2.3在技术评审时，如发现下列情形之一的，将被视为投标无效：</w:t>
      </w:r>
    </w:p>
    <w:p w14:paraId="0744EA68">
      <w:pPr>
        <w:pStyle w:val="14"/>
        <w:snapToGrid w:val="0"/>
        <w:spacing w:line="360" w:lineRule="auto"/>
        <w:ind w:firstLine="411" w:firstLineChars="196"/>
        <w:rPr>
          <w:rFonts w:ascii="宋体" w:hAnsi="宋体" w:eastAsia="宋体"/>
          <w:bCs/>
          <w:kern w:val="2"/>
          <w:sz w:val="21"/>
          <w:szCs w:val="21"/>
        </w:rPr>
      </w:pPr>
      <w:r>
        <w:rPr>
          <w:rFonts w:hint="eastAsia" w:ascii="宋体" w:hAnsi="宋体" w:eastAsia="宋体"/>
          <w:bCs/>
          <w:kern w:val="2"/>
          <w:sz w:val="21"/>
          <w:szCs w:val="21"/>
        </w:rPr>
        <w:t>（1）明显不满足招标文件要求的技术规格、安全、质量标准，或者与招标文件中标“★”的技术需求发生负偏离的；</w:t>
      </w:r>
    </w:p>
    <w:p w14:paraId="0DEC0E82">
      <w:pPr>
        <w:pStyle w:val="14"/>
        <w:snapToGrid w:val="0"/>
        <w:spacing w:line="360" w:lineRule="auto"/>
        <w:ind w:firstLine="411" w:firstLineChars="196"/>
        <w:rPr>
          <w:rFonts w:ascii="宋体" w:hAnsi="宋体" w:eastAsia="宋体"/>
          <w:bCs/>
          <w:kern w:val="2"/>
          <w:sz w:val="21"/>
          <w:szCs w:val="21"/>
        </w:rPr>
      </w:pPr>
      <w:r>
        <w:rPr>
          <w:rFonts w:hint="eastAsia" w:ascii="宋体" w:hAnsi="宋体" w:eastAsia="宋体"/>
          <w:bCs/>
          <w:kern w:val="2"/>
          <w:sz w:val="21"/>
          <w:szCs w:val="21"/>
        </w:rPr>
        <w:t>（2）技术需求评审允许负偏离的条款数超过“投标人须知前附表”规定项数的；</w:t>
      </w:r>
    </w:p>
    <w:p w14:paraId="56E80E70">
      <w:pPr>
        <w:pStyle w:val="14"/>
        <w:snapToGrid w:val="0"/>
        <w:spacing w:line="360" w:lineRule="auto"/>
        <w:ind w:firstLine="411" w:firstLineChars="196"/>
        <w:rPr>
          <w:rFonts w:ascii="宋体" w:hAnsi="宋体" w:eastAsia="宋体"/>
          <w:bCs/>
          <w:kern w:val="2"/>
          <w:sz w:val="21"/>
          <w:szCs w:val="21"/>
        </w:rPr>
      </w:pPr>
      <w:r>
        <w:rPr>
          <w:rFonts w:hint="eastAsia" w:ascii="宋体" w:hAnsi="宋体" w:eastAsia="宋体"/>
          <w:bCs/>
          <w:kern w:val="2"/>
          <w:sz w:val="21"/>
          <w:szCs w:val="21"/>
        </w:rPr>
        <w:t>（3）投标文件未提供“投标人须知前附表”第13.</w:t>
      </w:r>
      <w:r>
        <w:rPr>
          <w:rFonts w:ascii="宋体" w:hAnsi="宋体" w:eastAsia="宋体"/>
          <w:bCs/>
          <w:kern w:val="2"/>
          <w:sz w:val="21"/>
          <w:szCs w:val="21"/>
        </w:rPr>
        <w:t>1</w:t>
      </w:r>
      <w:r>
        <w:rPr>
          <w:rFonts w:hint="eastAsia" w:ascii="宋体" w:hAnsi="宋体" w:eastAsia="宋体"/>
          <w:bCs/>
          <w:kern w:val="2"/>
          <w:sz w:val="21"/>
          <w:szCs w:val="21"/>
        </w:rPr>
        <w:t>条规定中“必须提供”的文件资料的；</w:t>
      </w:r>
    </w:p>
    <w:p w14:paraId="2ECE3D07">
      <w:pPr>
        <w:pStyle w:val="14"/>
        <w:snapToGrid w:val="0"/>
        <w:spacing w:line="360" w:lineRule="auto"/>
        <w:ind w:firstLine="411" w:firstLineChars="196"/>
        <w:rPr>
          <w:rFonts w:ascii="宋体" w:hAnsi="宋体" w:eastAsia="宋体"/>
          <w:bCs/>
          <w:kern w:val="2"/>
          <w:sz w:val="21"/>
          <w:szCs w:val="21"/>
        </w:rPr>
      </w:pPr>
      <w:r>
        <w:rPr>
          <w:rFonts w:hint="eastAsia" w:ascii="宋体" w:hAnsi="宋体" w:eastAsia="宋体"/>
          <w:bCs/>
          <w:kern w:val="2"/>
          <w:sz w:val="21"/>
          <w:szCs w:val="21"/>
        </w:rPr>
        <w:t>（4）虚假投标，或者出现其他情形而导致被评标委员会认定无效的；</w:t>
      </w:r>
    </w:p>
    <w:p w14:paraId="527E31A3">
      <w:pPr>
        <w:pStyle w:val="14"/>
        <w:snapToGrid w:val="0"/>
        <w:spacing w:line="360" w:lineRule="auto"/>
        <w:ind w:firstLine="411" w:firstLineChars="196"/>
        <w:rPr>
          <w:rFonts w:ascii="宋体" w:hAnsi="宋体" w:eastAsia="宋体"/>
          <w:bCs/>
          <w:sz w:val="21"/>
          <w:szCs w:val="21"/>
        </w:rPr>
      </w:pPr>
      <w:r>
        <w:rPr>
          <w:rFonts w:hint="eastAsia" w:ascii="宋体" w:hAnsi="宋体" w:eastAsia="宋体"/>
          <w:bCs/>
          <w:kern w:val="2"/>
          <w:sz w:val="21"/>
          <w:szCs w:val="21"/>
        </w:rPr>
        <w:t>（5）投标技术方案不明确，招标文件未允许但存在一个或者一个以上备选（替代）投标方案的。</w:t>
      </w:r>
    </w:p>
    <w:p w14:paraId="6AAA2D3E">
      <w:pPr>
        <w:pStyle w:val="7"/>
        <w:keepNext w:val="0"/>
        <w:keepLines w:val="0"/>
        <w:spacing w:before="0" w:after="0" w:line="360" w:lineRule="auto"/>
        <w:ind w:left="420" w:leftChars="200"/>
        <w:rPr>
          <w:rFonts w:ascii="宋体" w:hAnsi="宋体"/>
          <w:sz w:val="21"/>
          <w:szCs w:val="21"/>
        </w:rPr>
      </w:pPr>
      <w:r>
        <w:rPr>
          <w:rFonts w:hint="eastAsia" w:ascii="宋体" w:hAnsi="宋体"/>
          <w:sz w:val="21"/>
          <w:szCs w:val="21"/>
        </w:rPr>
        <w:t>3</w:t>
      </w:r>
      <w:r>
        <w:rPr>
          <w:rFonts w:ascii="宋体" w:hAnsi="宋体"/>
          <w:sz w:val="21"/>
          <w:szCs w:val="21"/>
        </w:rPr>
        <w:t>.</w:t>
      </w:r>
      <w:r>
        <w:rPr>
          <w:rFonts w:hint="eastAsia" w:ascii="宋体" w:hAnsi="宋体"/>
          <w:sz w:val="21"/>
          <w:szCs w:val="21"/>
        </w:rPr>
        <w:t>澄清补正</w:t>
      </w:r>
    </w:p>
    <w:p w14:paraId="580C282D">
      <w:pPr>
        <w:snapToGrid w:val="0"/>
        <w:spacing w:line="360" w:lineRule="auto"/>
        <w:ind w:firstLine="420" w:firstLineChars="200"/>
        <w:rPr>
          <w:rFonts w:ascii="宋体" w:hAnsi="宋体" w:cs="Courier New"/>
          <w:szCs w:val="21"/>
        </w:rPr>
      </w:pPr>
      <w:r>
        <w:rPr>
          <w:rFonts w:hint="eastAsia" w:ascii="宋体" w:hAnsi="宋体" w:cs="Courier New"/>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3CB66C94">
      <w:pPr>
        <w:snapToGrid w:val="0"/>
        <w:spacing w:line="360" w:lineRule="auto"/>
        <w:ind w:firstLine="420" w:firstLineChars="200"/>
        <w:rPr>
          <w:rFonts w:ascii="宋体" w:hAnsi="宋体" w:cs="Courier New"/>
          <w:szCs w:val="21"/>
        </w:rPr>
      </w:pPr>
      <w:r>
        <w:rPr>
          <w:rFonts w:hint="eastAsia" w:ascii="宋体" w:hAnsi="宋体" w:cs="Courier New"/>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65C292FE">
      <w:pPr>
        <w:snapToGrid w:val="0"/>
        <w:spacing w:line="360" w:lineRule="auto"/>
        <w:ind w:firstLine="420" w:firstLineChars="200"/>
        <w:rPr>
          <w:rFonts w:ascii="宋体" w:hAnsi="宋体" w:cs="Courier New"/>
          <w:szCs w:val="21"/>
        </w:rPr>
      </w:pPr>
      <w:r>
        <w:rPr>
          <w:rFonts w:hint="eastAsia" w:ascii="宋体" w:hAnsi="宋体" w:cs="Courier New"/>
          <w:szCs w:val="21"/>
        </w:rPr>
        <w:t>未按评标委员会的要求作出明确澄清、说明或者更正的投标人的投标文件将按照有利于采购人的原则由评标委员会进行判定。</w:t>
      </w:r>
    </w:p>
    <w:p w14:paraId="3A6F48F7">
      <w:pPr>
        <w:pStyle w:val="7"/>
        <w:keepNext w:val="0"/>
        <w:keepLines w:val="0"/>
        <w:spacing w:before="0" w:after="0" w:line="360" w:lineRule="auto"/>
        <w:ind w:left="420" w:leftChars="200"/>
        <w:rPr>
          <w:rFonts w:ascii="宋体" w:hAnsi="宋体"/>
          <w:sz w:val="21"/>
          <w:szCs w:val="21"/>
        </w:rPr>
      </w:pPr>
      <w:r>
        <w:rPr>
          <w:rFonts w:ascii="宋体" w:hAnsi="宋体"/>
          <w:sz w:val="21"/>
          <w:szCs w:val="21"/>
        </w:rPr>
        <w:t>4.</w:t>
      </w:r>
      <w:r>
        <w:rPr>
          <w:rFonts w:hint="eastAsia" w:ascii="宋体" w:hAnsi="宋体"/>
          <w:sz w:val="21"/>
          <w:szCs w:val="21"/>
        </w:rPr>
        <w:t>投标文件修正</w:t>
      </w:r>
    </w:p>
    <w:p w14:paraId="675AE2B1">
      <w:pPr>
        <w:pStyle w:val="7"/>
        <w:keepNext w:val="0"/>
        <w:keepLines w:val="0"/>
        <w:spacing w:before="0" w:after="0" w:line="360" w:lineRule="auto"/>
        <w:ind w:left="420" w:leftChars="200"/>
        <w:rPr>
          <w:rFonts w:ascii="宋体" w:hAnsi="宋体"/>
          <w:b w:val="0"/>
          <w:sz w:val="21"/>
          <w:szCs w:val="21"/>
        </w:rPr>
      </w:pPr>
      <w:r>
        <w:rPr>
          <w:rFonts w:ascii="宋体" w:hAnsi="宋体"/>
          <w:b w:val="0"/>
          <w:sz w:val="21"/>
          <w:szCs w:val="21"/>
        </w:rPr>
        <w:t>4</w:t>
      </w:r>
      <w:r>
        <w:rPr>
          <w:rFonts w:hint="eastAsia" w:ascii="宋体" w:hAnsi="宋体"/>
          <w:b w:val="0"/>
          <w:sz w:val="21"/>
          <w:szCs w:val="21"/>
        </w:rPr>
        <w:t xml:space="preserve">.1投标文件报价出现前后不一致的，按照下列规定修正： </w:t>
      </w:r>
    </w:p>
    <w:p w14:paraId="3784A68F">
      <w:pPr>
        <w:pStyle w:val="15"/>
        <w:snapToGrid w:val="0"/>
        <w:spacing w:line="360" w:lineRule="auto"/>
        <w:ind w:firstLine="420" w:firstLineChars="200"/>
        <w:rPr>
          <w:rFonts w:hAnsi="宋体"/>
          <w:sz w:val="21"/>
        </w:rPr>
      </w:pPr>
      <w:r>
        <w:rPr>
          <w:rFonts w:hint="eastAsia" w:hAnsi="宋体"/>
          <w:sz w:val="21"/>
        </w:rPr>
        <w:t>（1）投标文件中开标一览表（报价表）内容与投标文件中相应内容不一致的，以开标一览表（报价表）为准；</w:t>
      </w:r>
    </w:p>
    <w:p w14:paraId="649DD1FE">
      <w:pPr>
        <w:pStyle w:val="15"/>
        <w:snapToGrid w:val="0"/>
        <w:spacing w:line="360" w:lineRule="auto"/>
        <w:ind w:firstLine="420" w:firstLineChars="200"/>
        <w:rPr>
          <w:rFonts w:hAnsi="宋体"/>
          <w:sz w:val="21"/>
        </w:rPr>
      </w:pPr>
      <w:r>
        <w:rPr>
          <w:rFonts w:hint="eastAsia" w:hAnsi="宋体"/>
          <w:sz w:val="21"/>
        </w:rPr>
        <w:t>（2）大写金额和小写金额不一致的，以大写金额为准；</w:t>
      </w:r>
    </w:p>
    <w:p w14:paraId="72188355">
      <w:pPr>
        <w:pStyle w:val="15"/>
        <w:snapToGrid w:val="0"/>
        <w:spacing w:line="360" w:lineRule="auto"/>
        <w:ind w:firstLine="420" w:firstLineChars="200"/>
        <w:rPr>
          <w:rFonts w:hAnsi="宋体"/>
          <w:sz w:val="21"/>
        </w:rPr>
      </w:pPr>
      <w:r>
        <w:rPr>
          <w:rFonts w:hint="eastAsia" w:hAnsi="宋体"/>
          <w:sz w:val="21"/>
        </w:rPr>
        <w:t>（3）单价金额小数点或者百分比有明显错位的，以开标一览表的总价为准，并修改单价；</w:t>
      </w:r>
    </w:p>
    <w:p w14:paraId="43A8ABBA">
      <w:pPr>
        <w:pStyle w:val="15"/>
        <w:snapToGrid w:val="0"/>
        <w:spacing w:line="360" w:lineRule="auto"/>
        <w:ind w:firstLine="420" w:firstLineChars="200"/>
        <w:rPr>
          <w:rFonts w:hAnsi="宋体"/>
          <w:sz w:val="21"/>
        </w:rPr>
      </w:pPr>
      <w:r>
        <w:rPr>
          <w:rFonts w:hint="eastAsia" w:hAnsi="宋体"/>
          <w:sz w:val="21"/>
        </w:rPr>
        <w:t>（4）总价金额与按单价汇总金额不一致的，以单价金额计算结果为准。</w:t>
      </w:r>
    </w:p>
    <w:p w14:paraId="733EF0D7">
      <w:pPr>
        <w:pStyle w:val="15"/>
        <w:snapToGrid w:val="0"/>
        <w:spacing w:line="360" w:lineRule="auto"/>
        <w:ind w:firstLine="420" w:firstLineChars="200"/>
        <w:rPr>
          <w:rFonts w:hAnsi="宋体"/>
          <w:sz w:val="21"/>
        </w:rPr>
      </w:pPr>
      <w:r>
        <w:rPr>
          <w:rFonts w:hint="eastAsia" w:hAnsi="宋体"/>
          <w:sz w:val="21"/>
        </w:rPr>
        <w:t>同时出现两种以上不一致的，按照以上（1）-（4）规定的顺序修正。修正后的报价经投标人确认后产生约束力，投标人不确认的，</w:t>
      </w:r>
      <w:r>
        <w:rPr>
          <w:rFonts w:hint="eastAsia" w:hAnsi="宋体"/>
          <w:b/>
          <w:kern w:val="2"/>
          <w:sz w:val="21"/>
        </w:rPr>
        <w:t>其投标无效</w:t>
      </w:r>
      <w:r>
        <w:rPr>
          <w:rFonts w:hint="eastAsia" w:hAnsi="宋体"/>
          <w:sz w:val="21"/>
        </w:rPr>
        <w:t>。</w:t>
      </w:r>
    </w:p>
    <w:p w14:paraId="431758AD">
      <w:pPr>
        <w:pStyle w:val="7"/>
        <w:keepNext w:val="0"/>
        <w:keepLines w:val="0"/>
        <w:spacing w:before="0" w:after="0" w:line="360" w:lineRule="auto"/>
        <w:rPr>
          <w:rFonts w:ascii="宋体" w:hAnsi="宋体"/>
          <w:b w:val="0"/>
          <w:sz w:val="21"/>
          <w:szCs w:val="21"/>
        </w:rPr>
      </w:pPr>
      <w:r>
        <w:rPr>
          <w:rFonts w:ascii="宋体" w:hAnsi="宋体"/>
          <w:b w:val="0"/>
          <w:sz w:val="21"/>
          <w:szCs w:val="21"/>
        </w:rPr>
        <w:t xml:space="preserve">    4</w:t>
      </w:r>
      <w:r>
        <w:rPr>
          <w:rFonts w:hint="eastAsia" w:ascii="宋体" w:hAnsi="宋体"/>
          <w:b w:val="0"/>
          <w:sz w:val="21"/>
          <w:szCs w:val="21"/>
        </w:rPr>
        <w:t>.2</w:t>
      </w:r>
      <w:r>
        <w:rPr>
          <w:rFonts w:hint="eastAsia" w:ascii="宋体" w:hAnsi="宋体"/>
          <w:b w:val="0"/>
          <w:spacing w:val="-6"/>
          <w:sz w:val="21"/>
          <w:szCs w:val="21"/>
        </w:rPr>
        <w:t>经投标人确认修正后的报价若超过采购预算金额或者最高限价，</w:t>
      </w:r>
      <w:r>
        <w:rPr>
          <w:rFonts w:hint="eastAsia" w:ascii="宋体" w:hAnsi="宋体"/>
          <w:spacing w:val="-6"/>
          <w:sz w:val="21"/>
          <w:szCs w:val="21"/>
        </w:rPr>
        <w:t>投标人的投标文件作无效投标处理</w:t>
      </w:r>
      <w:r>
        <w:rPr>
          <w:rFonts w:hint="eastAsia" w:ascii="宋体" w:hAnsi="宋体"/>
          <w:b w:val="0"/>
          <w:spacing w:val="-6"/>
          <w:sz w:val="21"/>
          <w:szCs w:val="21"/>
        </w:rPr>
        <w:t>。</w:t>
      </w:r>
    </w:p>
    <w:p w14:paraId="3A68E86D">
      <w:pPr>
        <w:snapToGrid w:val="0"/>
        <w:spacing w:line="360" w:lineRule="auto"/>
        <w:ind w:firstLine="422" w:firstLineChars="200"/>
        <w:rPr>
          <w:rFonts w:ascii="宋体" w:hAnsi="宋体"/>
          <w:szCs w:val="21"/>
        </w:rPr>
      </w:pPr>
      <w:r>
        <w:rPr>
          <w:rFonts w:ascii="宋体" w:hAnsi="宋体"/>
          <w:b/>
          <w:szCs w:val="21"/>
        </w:rPr>
        <w:t>4</w:t>
      </w:r>
      <w:r>
        <w:rPr>
          <w:rFonts w:hint="eastAsia" w:ascii="宋体" w:hAnsi="宋体"/>
          <w:b/>
          <w:szCs w:val="21"/>
        </w:rPr>
        <w:t>.3经投标人确认修正后的报价作为签订合同的依据，并以此报价计算价格分。</w:t>
      </w:r>
    </w:p>
    <w:p w14:paraId="63112E4D">
      <w:pPr>
        <w:pStyle w:val="7"/>
        <w:keepNext w:val="0"/>
        <w:keepLines w:val="0"/>
        <w:spacing w:before="0" w:after="0" w:line="360" w:lineRule="auto"/>
        <w:ind w:left="420" w:leftChars="200"/>
        <w:rPr>
          <w:rFonts w:ascii="宋体" w:hAnsi="宋体"/>
          <w:sz w:val="21"/>
          <w:szCs w:val="21"/>
        </w:rPr>
      </w:pPr>
      <w:r>
        <w:rPr>
          <w:rFonts w:ascii="宋体" w:hAnsi="宋体"/>
          <w:sz w:val="21"/>
          <w:szCs w:val="21"/>
        </w:rPr>
        <w:t>5.</w:t>
      </w:r>
      <w:r>
        <w:rPr>
          <w:rFonts w:hint="eastAsia" w:ascii="宋体" w:hAnsi="宋体"/>
          <w:sz w:val="21"/>
          <w:szCs w:val="21"/>
        </w:rPr>
        <w:t>比较与评价</w:t>
      </w:r>
    </w:p>
    <w:p w14:paraId="33D9B1EB">
      <w:pPr>
        <w:pStyle w:val="15"/>
        <w:snapToGrid w:val="0"/>
        <w:spacing w:line="360" w:lineRule="auto"/>
        <w:ind w:firstLine="420" w:firstLineChars="200"/>
        <w:rPr>
          <w:rFonts w:hAnsi="宋体"/>
          <w:sz w:val="21"/>
        </w:rPr>
      </w:pPr>
      <w:r>
        <w:rPr>
          <w:rFonts w:hint="eastAsia" w:hAnsi="宋体"/>
          <w:sz w:val="21"/>
        </w:rPr>
        <w:t>5.1采用综合评分法的</w:t>
      </w:r>
    </w:p>
    <w:p w14:paraId="5AB0B9E8">
      <w:pPr>
        <w:pStyle w:val="15"/>
        <w:snapToGrid w:val="0"/>
        <w:spacing w:line="360" w:lineRule="auto"/>
        <w:ind w:firstLine="420" w:firstLineChars="200"/>
        <w:rPr>
          <w:rFonts w:hAnsi="宋体"/>
          <w:sz w:val="21"/>
        </w:rPr>
      </w:pPr>
      <w:r>
        <w:rPr>
          <w:rFonts w:hint="eastAsia" w:hAnsi="宋体"/>
          <w:sz w:val="21"/>
        </w:rPr>
        <w:t>（1）评标委员会按照招标文件中规定的评标方法及评标标准，对符合性审查合格的投标文件进行商务和技术评估，综合比较与评价。</w:t>
      </w:r>
    </w:p>
    <w:p w14:paraId="36EF9130">
      <w:pPr>
        <w:pStyle w:val="15"/>
        <w:snapToGrid w:val="0"/>
        <w:spacing w:line="360" w:lineRule="auto"/>
        <w:ind w:firstLine="420" w:firstLineChars="200"/>
        <w:rPr>
          <w:rFonts w:hAnsi="宋体"/>
          <w:sz w:val="21"/>
        </w:rPr>
      </w:pPr>
      <w:r>
        <w:rPr>
          <w:rFonts w:hint="eastAsia" w:hAnsi="宋体"/>
          <w:sz w:val="21"/>
        </w:rPr>
        <w:t>（2）评标委员会独立对每个投标人的投标文件进行评价，并汇总每个投标人的得分。</w:t>
      </w:r>
    </w:p>
    <w:p w14:paraId="2EBD18A6">
      <w:pPr>
        <w:pStyle w:val="15"/>
        <w:snapToGrid w:val="0"/>
        <w:spacing w:line="360" w:lineRule="auto"/>
        <w:ind w:firstLine="420" w:firstLineChars="200"/>
        <w:rPr>
          <w:rFonts w:hAnsi="宋体"/>
          <w:b/>
          <w:bCs/>
          <w:sz w:val="21"/>
        </w:rPr>
      </w:pPr>
      <w:r>
        <w:rPr>
          <w:rFonts w:hint="eastAsia" w:hAnsi="宋体"/>
          <w:sz w:val="21"/>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hAnsi="宋体"/>
          <w:b/>
          <w:bCs/>
          <w:sz w:val="21"/>
        </w:rPr>
        <w:t>投标人不能证明其报价合理性的，评标委员会将其作为无效投标处理。</w:t>
      </w:r>
    </w:p>
    <w:p w14:paraId="71A06A73">
      <w:pPr>
        <w:pStyle w:val="15"/>
        <w:snapToGrid w:val="0"/>
        <w:spacing w:line="360" w:lineRule="auto"/>
        <w:ind w:firstLine="420" w:firstLineChars="200"/>
        <w:rPr>
          <w:rFonts w:hAnsi="宋体"/>
          <w:sz w:val="21"/>
        </w:rPr>
      </w:pPr>
      <w:r>
        <w:rPr>
          <w:rFonts w:hint="eastAsia" w:hAnsi="宋体"/>
          <w:sz w:val="21"/>
        </w:rPr>
        <w:t>（3）评标委员会按照招标文件中规定的评标方法和标准计算各投标人的报价得分。在计算过程中，不得去掉最高报价或者最低报价。</w:t>
      </w:r>
    </w:p>
    <w:p w14:paraId="31A2586F">
      <w:pPr>
        <w:pStyle w:val="15"/>
        <w:snapToGrid w:val="0"/>
        <w:spacing w:line="360" w:lineRule="auto"/>
        <w:ind w:firstLine="420" w:firstLineChars="200"/>
        <w:rPr>
          <w:rFonts w:hAnsi="宋体"/>
          <w:sz w:val="21"/>
        </w:rPr>
      </w:pPr>
      <w:r>
        <w:rPr>
          <w:rFonts w:hint="eastAsia" w:hAnsi="宋体"/>
          <w:sz w:val="21"/>
        </w:rPr>
        <w:t>（4）各投标人的得分为所有评委的有效评分的算术平均数。</w:t>
      </w:r>
    </w:p>
    <w:p w14:paraId="44B95CC0">
      <w:pPr>
        <w:pStyle w:val="15"/>
        <w:snapToGrid w:val="0"/>
        <w:spacing w:line="360" w:lineRule="auto"/>
        <w:ind w:firstLine="420" w:firstLineChars="200"/>
        <w:rPr>
          <w:rFonts w:hAnsi="宋体"/>
          <w:sz w:val="21"/>
        </w:rPr>
      </w:pPr>
      <w:r>
        <w:rPr>
          <w:rFonts w:hint="eastAsia" w:hAnsi="宋体"/>
          <w:sz w:val="21"/>
        </w:rPr>
        <w:t>（5）评标委员会按照招标文件中的规定推荐中标候选人。</w:t>
      </w:r>
    </w:p>
    <w:p w14:paraId="46221473">
      <w:pPr>
        <w:pStyle w:val="15"/>
        <w:snapToGrid w:val="0"/>
        <w:spacing w:line="360" w:lineRule="auto"/>
        <w:ind w:firstLine="420" w:firstLineChars="200"/>
        <w:rPr>
          <w:rFonts w:hAnsi="宋体"/>
          <w:sz w:val="21"/>
        </w:rPr>
      </w:pPr>
      <w:r>
        <w:rPr>
          <w:rFonts w:hint="eastAsia" w:hAnsi="宋体"/>
          <w:sz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65AC9439">
      <w:pPr>
        <w:spacing w:line="360" w:lineRule="auto"/>
        <w:ind w:firstLine="422" w:firstLineChars="200"/>
        <w:rPr>
          <w:rFonts w:ascii="宋体" w:hAnsi="宋体"/>
          <w:b/>
          <w:szCs w:val="21"/>
        </w:rPr>
      </w:pPr>
      <w:r>
        <w:rPr>
          <w:rFonts w:hint="eastAsia" w:ascii="宋体" w:hAnsi="宋体"/>
          <w:b/>
          <w:szCs w:val="21"/>
        </w:rPr>
        <w:t>6.评审复核</w:t>
      </w:r>
    </w:p>
    <w:p w14:paraId="15E24F52">
      <w:pPr>
        <w:pStyle w:val="15"/>
        <w:snapToGrid w:val="0"/>
        <w:spacing w:line="360" w:lineRule="auto"/>
        <w:ind w:firstLine="420" w:firstLineChars="200"/>
        <w:rPr>
          <w:rFonts w:hAnsi="宋体"/>
          <w:sz w:val="21"/>
        </w:rPr>
      </w:pPr>
      <w:r>
        <w:rPr>
          <w:rFonts w:hint="eastAsia" w:hAnsi="宋体"/>
          <w:sz w:val="21"/>
        </w:rPr>
        <w:t>6.1评标报告签署前，评标委员会要对评审结果进行复核，复核意见要体现在评标报告中。</w:t>
      </w:r>
    </w:p>
    <w:p w14:paraId="0B7DD08C">
      <w:pPr>
        <w:pStyle w:val="15"/>
        <w:snapToGrid w:val="0"/>
        <w:spacing w:line="360" w:lineRule="auto"/>
        <w:ind w:firstLine="420" w:firstLineChars="200"/>
        <w:rPr>
          <w:rFonts w:hAnsi="宋体"/>
          <w:sz w:val="21"/>
        </w:rPr>
      </w:pPr>
      <w:r>
        <w:rPr>
          <w:rFonts w:hint="eastAsia" w:hAnsi="宋体"/>
          <w:sz w:val="21"/>
        </w:rPr>
        <w:t>6.2评标结果汇总完成后，除下列情形外，任何人不得修改评标结果：</w:t>
      </w:r>
    </w:p>
    <w:p w14:paraId="0FA22678">
      <w:pPr>
        <w:pStyle w:val="15"/>
        <w:snapToGrid w:val="0"/>
        <w:spacing w:line="360" w:lineRule="auto"/>
        <w:ind w:firstLine="420" w:firstLineChars="200"/>
        <w:rPr>
          <w:rFonts w:hAnsi="宋体"/>
          <w:sz w:val="21"/>
        </w:rPr>
      </w:pPr>
      <w:r>
        <w:rPr>
          <w:rFonts w:hint="eastAsia" w:hAnsi="宋体"/>
          <w:sz w:val="21"/>
        </w:rPr>
        <w:t>（一）分值汇总计算错误的；</w:t>
      </w:r>
    </w:p>
    <w:p w14:paraId="72DF67E3">
      <w:pPr>
        <w:pStyle w:val="15"/>
        <w:snapToGrid w:val="0"/>
        <w:spacing w:line="360" w:lineRule="auto"/>
        <w:ind w:firstLine="420" w:firstLineChars="200"/>
        <w:rPr>
          <w:rFonts w:hAnsi="宋体"/>
          <w:sz w:val="21"/>
        </w:rPr>
      </w:pPr>
      <w:r>
        <w:rPr>
          <w:rFonts w:hint="eastAsia" w:hAnsi="宋体"/>
          <w:sz w:val="21"/>
        </w:rPr>
        <w:t>（二）分项评分超出评分标准范围的；</w:t>
      </w:r>
    </w:p>
    <w:p w14:paraId="5CDB8A0B">
      <w:pPr>
        <w:pStyle w:val="15"/>
        <w:snapToGrid w:val="0"/>
        <w:spacing w:line="360" w:lineRule="auto"/>
        <w:ind w:firstLine="420" w:firstLineChars="200"/>
        <w:rPr>
          <w:rFonts w:hAnsi="宋体"/>
          <w:sz w:val="21"/>
        </w:rPr>
      </w:pPr>
      <w:r>
        <w:rPr>
          <w:rFonts w:hint="eastAsia" w:hAnsi="宋体"/>
          <w:sz w:val="21"/>
        </w:rPr>
        <w:t>（三）评标委员会成员对客观评审因素评分不一致的；</w:t>
      </w:r>
    </w:p>
    <w:p w14:paraId="525FC3AC">
      <w:pPr>
        <w:pStyle w:val="15"/>
        <w:snapToGrid w:val="0"/>
        <w:spacing w:line="360" w:lineRule="auto"/>
        <w:ind w:firstLine="420" w:firstLineChars="200"/>
        <w:rPr>
          <w:rFonts w:hAnsi="宋体"/>
          <w:sz w:val="21"/>
        </w:rPr>
      </w:pPr>
      <w:r>
        <w:rPr>
          <w:rFonts w:hint="eastAsia" w:hAnsi="宋体"/>
          <w:sz w:val="21"/>
        </w:rPr>
        <w:t>（四）经评标委员会认定评分畸高、畸低的。</w:t>
      </w:r>
    </w:p>
    <w:p w14:paraId="5DCCAE0C">
      <w:pPr>
        <w:pStyle w:val="15"/>
        <w:snapToGrid w:val="0"/>
        <w:spacing w:line="360" w:lineRule="auto"/>
        <w:ind w:firstLine="420" w:firstLineChars="200"/>
        <w:rPr>
          <w:rFonts w:hAnsi="宋体"/>
        </w:rPr>
      </w:pPr>
      <w:r>
        <w:rPr>
          <w:rFonts w:hint="eastAsia" w:hAnsi="宋体"/>
          <w:sz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r>
        <w:rPr>
          <w:rFonts w:hint="eastAsia" w:hAnsi="宋体"/>
        </w:rPr>
        <w:t>。</w:t>
      </w:r>
    </w:p>
    <w:p w14:paraId="521D4E23">
      <w:pPr>
        <w:pStyle w:val="5"/>
        <w:keepNext w:val="0"/>
        <w:keepLines w:val="0"/>
        <w:jc w:val="center"/>
      </w:pPr>
      <w:r>
        <w:rPr>
          <w:rFonts w:hAnsi="宋体"/>
        </w:rPr>
        <w:br w:type="page"/>
      </w:r>
      <w:r>
        <w:rPr>
          <w:rFonts w:hint="eastAsia"/>
        </w:rPr>
        <w:t>第三节评标标准</w:t>
      </w:r>
    </w:p>
    <w:p w14:paraId="7D3A32C0">
      <w:pPr>
        <w:pStyle w:val="5"/>
        <w:jc w:val="center"/>
        <w:rPr>
          <w:sz w:val="30"/>
          <w:szCs w:val="30"/>
        </w:rPr>
      </w:pPr>
      <w:bookmarkStart w:id="136" w:name="_Toc2880"/>
      <w:r>
        <w:rPr>
          <w:rFonts w:hint="eastAsia"/>
          <w:sz w:val="30"/>
          <w:szCs w:val="30"/>
        </w:rPr>
        <w:t>综合评分法</w:t>
      </w:r>
    </w:p>
    <w:p w14:paraId="0D7D38E9">
      <w:pPr>
        <w:pStyle w:val="15"/>
        <w:spacing w:line="360" w:lineRule="auto"/>
        <w:ind w:firstLine="420"/>
        <w:rPr>
          <w:rFonts w:hAnsi="宋体"/>
          <w:bCs/>
          <w:sz w:val="21"/>
        </w:rPr>
      </w:pPr>
      <w:r>
        <w:rPr>
          <w:rFonts w:hint="eastAsia" w:hAnsi="宋体"/>
          <w:b/>
          <w:sz w:val="28"/>
          <w:szCs w:val="28"/>
        </w:rPr>
        <w:t>标项一适用：</w:t>
      </w:r>
    </w:p>
    <w:tbl>
      <w:tblPr>
        <w:tblStyle w:val="25"/>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20"/>
        <w:gridCol w:w="1260"/>
        <w:gridCol w:w="6345"/>
      </w:tblGrid>
      <w:tr w14:paraId="161A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845" w:type="dxa"/>
            <w:gridSpan w:val="2"/>
            <w:vAlign w:val="center"/>
          </w:tcPr>
          <w:p w14:paraId="5ADA391F">
            <w:pPr>
              <w:adjustRightInd w:val="0"/>
              <w:jc w:val="center"/>
              <w:textAlignment w:val="baseline"/>
              <w:rPr>
                <w:rFonts w:ascii="宋体" w:hAnsi="宋体" w:cs="宋体"/>
                <w:szCs w:val="21"/>
              </w:rPr>
            </w:pPr>
            <w:r>
              <w:rPr>
                <w:rFonts w:hint="eastAsia" w:ascii="宋体" w:hAnsi="宋体" w:cs="宋体"/>
                <w:b/>
                <w:szCs w:val="21"/>
              </w:rPr>
              <w:t>序号</w:t>
            </w:r>
          </w:p>
        </w:tc>
        <w:tc>
          <w:tcPr>
            <w:tcW w:w="1260" w:type="dxa"/>
            <w:vAlign w:val="center"/>
          </w:tcPr>
          <w:p w14:paraId="6DA98782">
            <w:pPr>
              <w:adjustRightInd w:val="0"/>
              <w:jc w:val="center"/>
              <w:textAlignment w:val="baseline"/>
              <w:rPr>
                <w:rFonts w:ascii="宋体" w:hAnsi="宋体" w:cs="宋体"/>
                <w:szCs w:val="21"/>
              </w:rPr>
            </w:pPr>
            <w:r>
              <w:rPr>
                <w:rFonts w:hint="eastAsia" w:ascii="宋体" w:hAnsi="宋体" w:cs="宋体"/>
                <w:b/>
                <w:szCs w:val="21"/>
              </w:rPr>
              <w:t>评审因素</w:t>
            </w:r>
          </w:p>
        </w:tc>
        <w:tc>
          <w:tcPr>
            <w:tcW w:w="6345" w:type="dxa"/>
            <w:vAlign w:val="center"/>
          </w:tcPr>
          <w:p w14:paraId="55757AC3">
            <w:pPr>
              <w:adjustRightInd w:val="0"/>
              <w:jc w:val="center"/>
              <w:textAlignment w:val="baseline"/>
              <w:rPr>
                <w:rFonts w:ascii="宋体" w:hAnsi="宋体" w:cs="宋体"/>
                <w:szCs w:val="21"/>
              </w:rPr>
            </w:pPr>
            <w:r>
              <w:rPr>
                <w:rFonts w:hint="eastAsia" w:ascii="宋体" w:hAnsi="宋体" w:cs="宋体"/>
                <w:b/>
                <w:szCs w:val="21"/>
              </w:rPr>
              <w:t>评分标准</w:t>
            </w:r>
          </w:p>
        </w:tc>
      </w:tr>
      <w:tr w14:paraId="40F50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Align w:val="center"/>
          </w:tcPr>
          <w:p w14:paraId="516C1D60">
            <w:pPr>
              <w:adjustRightInd w:val="0"/>
              <w:spacing w:line="360" w:lineRule="auto"/>
              <w:jc w:val="center"/>
              <w:textAlignment w:val="baseline"/>
              <w:rPr>
                <w:rFonts w:ascii="宋体" w:hAnsi="宋体" w:cs="宋体"/>
                <w:b/>
                <w:szCs w:val="21"/>
              </w:rPr>
            </w:pPr>
            <w:r>
              <w:rPr>
                <w:rFonts w:hint="eastAsia" w:ascii="宋体" w:hAnsi="宋体" w:cs="宋体"/>
                <w:b/>
                <w:szCs w:val="21"/>
              </w:rPr>
              <w:t>1</w:t>
            </w:r>
          </w:p>
        </w:tc>
        <w:tc>
          <w:tcPr>
            <w:tcW w:w="1320" w:type="dxa"/>
            <w:vAlign w:val="center"/>
          </w:tcPr>
          <w:p w14:paraId="0CDB6DE4">
            <w:pPr>
              <w:adjustRightInd w:val="0"/>
              <w:spacing w:line="360" w:lineRule="auto"/>
              <w:ind w:leftChars="-95" w:right="-155" w:rightChars="-74" w:hanging="199" w:hangingChars="95"/>
              <w:jc w:val="center"/>
              <w:textAlignment w:val="baseline"/>
              <w:rPr>
                <w:rFonts w:ascii="宋体" w:hAnsi="宋体" w:cs="宋体"/>
                <w:bCs/>
                <w:szCs w:val="21"/>
              </w:rPr>
            </w:pPr>
            <w:r>
              <w:rPr>
                <w:rFonts w:hint="eastAsia" w:ascii="宋体" w:hAnsi="宋体" w:cs="宋体"/>
                <w:bCs/>
                <w:szCs w:val="21"/>
              </w:rPr>
              <w:t>价格部分</w:t>
            </w:r>
          </w:p>
          <w:p w14:paraId="0C8543E4">
            <w:pPr>
              <w:adjustRightInd w:val="0"/>
              <w:spacing w:line="360" w:lineRule="auto"/>
              <w:ind w:leftChars="-95" w:right="-155" w:rightChars="-74" w:hanging="199" w:hangingChars="95"/>
              <w:jc w:val="center"/>
              <w:textAlignment w:val="baseline"/>
              <w:rPr>
                <w:rFonts w:ascii="宋体" w:hAnsi="宋体" w:cs="宋体"/>
                <w:bCs/>
                <w:szCs w:val="21"/>
              </w:rPr>
            </w:pPr>
            <w:r>
              <w:rPr>
                <w:rFonts w:hint="eastAsia" w:ascii="宋体" w:hAnsi="宋体" w:cs="宋体"/>
                <w:bCs/>
                <w:szCs w:val="21"/>
              </w:rPr>
              <w:t>（满分</w:t>
            </w:r>
            <w:r>
              <w:rPr>
                <w:rFonts w:hint="eastAsia" w:ascii="宋体" w:hAnsi="宋体" w:cs="宋体"/>
                <w:bCs/>
                <w:szCs w:val="21"/>
                <w:u w:val="single"/>
              </w:rPr>
              <w:t>30</w:t>
            </w:r>
            <w:r>
              <w:rPr>
                <w:rFonts w:hint="eastAsia" w:ascii="宋体" w:hAnsi="宋体" w:cs="宋体"/>
                <w:bCs/>
                <w:szCs w:val="21"/>
              </w:rPr>
              <w:t>分）</w:t>
            </w:r>
          </w:p>
          <w:p w14:paraId="0588AEA2">
            <w:pPr>
              <w:adjustRightInd w:val="0"/>
              <w:spacing w:line="360" w:lineRule="auto"/>
              <w:jc w:val="left"/>
              <w:textAlignment w:val="baseline"/>
              <w:rPr>
                <w:rFonts w:ascii="宋体" w:hAnsi="宋体" w:cs="宋体"/>
                <w:bCs/>
                <w:szCs w:val="21"/>
              </w:rPr>
            </w:pPr>
          </w:p>
        </w:tc>
        <w:tc>
          <w:tcPr>
            <w:tcW w:w="1260" w:type="dxa"/>
            <w:vAlign w:val="center"/>
          </w:tcPr>
          <w:p w14:paraId="75E049BE">
            <w:pPr>
              <w:adjustRightInd w:val="0"/>
              <w:spacing w:line="360" w:lineRule="auto"/>
              <w:ind w:leftChars="-95" w:right="-155" w:rightChars="-74" w:hanging="199" w:hangingChars="95"/>
              <w:jc w:val="center"/>
              <w:textAlignment w:val="baseline"/>
              <w:rPr>
                <w:rFonts w:ascii="宋体" w:hAnsi="宋体" w:cs="宋体"/>
                <w:bCs/>
                <w:szCs w:val="21"/>
              </w:rPr>
            </w:pPr>
            <w:r>
              <w:rPr>
                <w:rFonts w:hint="eastAsia" w:ascii="宋体" w:hAnsi="宋体" w:cs="宋体"/>
                <w:bCs/>
                <w:szCs w:val="21"/>
              </w:rPr>
              <w:t>价格分</w:t>
            </w:r>
          </w:p>
          <w:p w14:paraId="25C5FE29">
            <w:pPr>
              <w:adjustRightInd w:val="0"/>
              <w:spacing w:line="360" w:lineRule="auto"/>
              <w:ind w:leftChars="-95" w:right="-155" w:rightChars="-74" w:hanging="199" w:hangingChars="95"/>
              <w:jc w:val="center"/>
              <w:textAlignment w:val="baseline"/>
              <w:rPr>
                <w:rFonts w:ascii="宋体" w:hAnsi="宋体" w:cs="宋体"/>
                <w:bCs/>
                <w:szCs w:val="21"/>
              </w:rPr>
            </w:pPr>
            <w:r>
              <w:rPr>
                <w:rFonts w:hint="eastAsia" w:ascii="宋体" w:hAnsi="宋体" w:cs="宋体"/>
                <w:bCs/>
                <w:szCs w:val="21"/>
              </w:rPr>
              <w:t>（满分30分）</w:t>
            </w:r>
          </w:p>
          <w:p w14:paraId="0FD91C84">
            <w:pPr>
              <w:pStyle w:val="12"/>
              <w:ind w:firstLine="420" w:firstLineChars="200"/>
              <w:rPr>
                <w:rFonts w:ascii="宋体" w:hAnsi="宋体" w:cs="宋体"/>
                <w:bCs/>
                <w:sz w:val="21"/>
                <w:szCs w:val="21"/>
              </w:rPr>
            </w:pPr>
          </w:p>
        </w:tc>
        <w:tc>
          <w:tcPr>
            <w:tcW w:w="6345" w:type="dxa"/>
            <w:vAlign w:val="center"/>
          </w:tcPr>
          <w:p w14:paraId="64CC01BC">
            <w:pPr>
              <w:spacing w:line="360" w:lineRule="exact"/>
              <w:ind w:firstLine="420" w:firstLineChars="200"/>
              <w:jc w:val="left"/>
              <w:rPr>
                <w:rFonts w:ascii="宋体" w:hAnsi="宋体" w:cs="宋体"/>
                <w:kern w:val="0"/>
                <w:szCs w:val="21"/>
              </w:rPr>
            </w:pPr>
            <w:r>
              <w:rPr>
                <w:rFonts w:hint="eastAsia" w:ascii="宋体" w:hAnsi="宋体" w:cs="宋体"/>
                <w:kern w:val="0"/>
                <w:szCs w:val="21"/>
              </w:rPr>
              <w:t>1.评标报价为投标人的投标报价进行政策性扣除后的价格，评标报价只是作为评标时使用。最终中标人的中标金额等于投标报价。</w:t>
            </w:r>
          </w:p>
          <w:p w14:paraId="70618E21">
            <w:pPr>
              <w:spacing w:line="360" w:lineRule="exact"/>
              <w:ind w:firstLine="420" w:firstLineChars="200"/>
              <w:jc w:val="left"/>
              <w:rPr>
                <w:rFonts w:ascii="宋体" w:hAnsi="宋体" w:cs="宋体"/>
                <w:kern w:val="0"/>
                <w:szCs w:val="21"/>
              </w:rPr>
            </w:pPr>
            <w:r>
              <w:rPr>
                <w:rFonts w:hint="eastAsia" w:ascii="宋体" w:hAnsi="宋体" w:cs="宋体"/>
                <w:kern w:val="0"/>
                <w:szCs w:val="21"/>
              </w:rPr>
              <w:t>2.政策性扣除计算方法。</w:t>
            </w:r>
          </w:p>
          <w:p w14:paraId="3EFA7753">
            <w:pPr>
              <w:spacing w:line="360" w:lineRule="exact"/>
              <w:ind w:firstLine="420" w:firstLineChars="200"/>
              <w:jc w:val="left"/>
              <w:rPr>
                <w:rFonts w:ascii="宋体" w:hAnsi="宋体" w:cs="宋体"/>
                <w:kern w:val="0"/>
                <w:szCs w:val="21"/>
              </w:rPr>
            </w:pPr>
            <w:r>
              <w:rPr>
                <w:rFonts w:hint="eastAsia" w:ascii="宋体" w:hAnsi="宋体" w:cs="宋体"/>
                <w:kern w:val="0"/>
                <w:szCs w:val="21"/>
              </w:rPr>
              <w:t>根据《政府采购促进中小企业发展管理办法》（财库〔2020〕46号）及《广西壮族自治区财政厅关于持续优化政府采购营商环境推动高质量发展的通知》（桂财采〔2024〕55号）规定，投标人在其投标文件中提供《中小企业声明函》，且其投标全部货物由小微企业制造的，对其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评标报价=投标报价×（1-4 %）。除上述情况外，评标报价=投标报价。</w:t>
            </w:r>
          </w:p>
          <w:p w14:paraId="184CCE55">
            <w:pPr>
              <w:spacing w:line="360" w:lineRule="exact"/>
              <w:ind w:firstLine="420" w:firstLineChars="200"/>
              <w:jc w:val="left"/>
              <w:rPr>
                <w:rFonts w:ascii="宋体" w:hAnsi="宋体" w:cs="宋体"/>
                <w:kern w:val="0"/>
                <w:szCs w:val="21"/>
              </w:rPr>
            </w:pPr>
            <w:r>
              <w:rPr>
                <w:rFonts w:hint="eastAsia" w:ascii="宋体" w:hAnsi="宋体" w:cs="宋体"/>
                <w:kern w:val="0"/>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0EAD5CE">
            <w:pPr>
              <w:spacing w:line="360" w:lineRule="exact"/>
              <w:ind w:firstLine="420" w:firstLineChars="200"/>
              <w:jc w:val="left"/>
              <w:rPr>
                <w:rFonts w:ascii="宋体" w:hAnsi="宋体" w:cs="宋体"/>
                <w:kern w:val="0"/>
                <w:szCs w:val="21"/>
              </w:rPr>
            </w:pPr>
            <w:r>
              <w:rPr>
                <w:rFonts w:hint="eastAsia" w:ascii="宋体" w:hAnsi="宋体" w:cs="宋体"/>
                <w:kern w:val="0"/>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16CF7C7">
            <w:pPr>
              <w:spacing w:line="360" w:lineRule="exact"/>
              <w:ind w:firstLine="420" w:firstLineChars="200"/>
              <w:jc w:val="left"/>
              <w:rPr>
                <w:rFonts w:ascii="宋体" w:hAnsi="宋体" w:cs="宋体"/>
                <w:kern w:val="0"/>
                <w:szCs w:val="21"/>
              </w:rPr>
            </w:pPr>
            <w:r>
              <w:rPr>
                <w:rFonts w:hint="eastAsia" w:ascii="宋体" w:hAnsi="宋体" w:cs="宋体"/>
                <w:kern w:val="0"/>
                <w:szCs w:val="21"/>
              </w:rPr>
              <w:t>5.本国产品政策性扣除计算方法。</w:t>
            </w:r>
          </w:p>
          <w:p w14:paraId="4B2FB0F3">
            <w:pPr>
              <w:spacing w:line="360" w:lineRule="exact"/>
              <w:ind w:firstLine="420" w:firstLineChars="200"/>
              <w:jc w:val="left"/>
              <w:rPr>
                <w:rFonts w:ascii="宋体" w:hAnsi="宋体" w:cs="宋体"/>
                <w:kern w:val="0"/>
                <w:szCs w:val="21"/>
              </w:rPr>
            </w:pPr>
            <w:r>
              <w:rPr>
                <w:rFonts w:hint="eastAsia" w:ascii="宋体" w:hAnsi="宋体" w:cs="宋体"/>
                <w:kern w:val="0"/>
                <w:szCs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0BEE3369">
            <w:pPr>
              <w:spacing w:line="360" w:lineRule="exact"/>
              <w:ind w:firstLine="420" w:firstLineChars="200"/>
              <w:jc w:val="left"/>
              <w:rPr>
                <w:rFonts w:ascii="宋体" w:hAnsi="宋体" w:cs="宋体"/>
                <w:kern w:val="0"/>
                <w:szCs w:val="21"/>
              </w:rPr>
            </w:pPr>
            <w:r>
              <w:rPr>
                <w:rFonts w:hint="eastAsia" w:ascii="宋体" w:hAnsi="宋体" w:cs="宋体"/>
                <w:kern w:val="0"/>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6FA8F821">
            <w:pPr>
              <w:spacing w:line="360" w:lineRule="exact"/>
              <w:ind w:firstLine="420" w:firstLineChars="200"/>
              <w:jc w:val="left"/>
              <w:rPr>
                <w:rFonts w:ascii="宋体" w:hAnsi="宋体" w:cs="宋体"/>
                <w:kern w:val="0"/>
                <w:szCs w:val="21"/>
              </w:rPr>
            </w:pPr>
            <w:r>
              <w:rPr>
                <w:rFonts w:hint="eastAsia" w:ascii="宋体" w:hAnsi="宋体" w:cs="宋体"/>
                <w:kern w:val="0"/>
                <w:szCs w:val="21"/>
              </w:rPr>
              <w:t>如果所有参与竞争的供应商均可享受本国产品价格评审优惠，则统一不进行价格扣除。</w:t>
            </w:r>
          </w:p>
          <w:p w14:paraId="59C01E31">
            <w:pPr>
              <w:spacing w:line="360" w:lineRule="exact"/>
              <w:ind w:firstLine="420" w:firstLineChars="200"/>
              <w:jc w:val="left"/>
              <w:rPr>
                <w:rFonts w:ascii="宋体" w:hAnsi="宋体" w:cs="宋体"/>
                <w:kern w:val="0"/>
                <w:szCs w:val="21"/>
              </w:rPr>
            </w:pPr>
            <w:r>
              <w:rPr>
                <w:rFonts w:hint="eastAsia" w:ascii="宋体" w:hAnsi="宋体" w:cs="宋体"/>
                <w:kern w:val="0"/>
                <w:szCs w:val="21"/>
              </w:rPr>
              <w:t>供应商在其投标文件中对其提供的产品出具《关于符合本国产品标准的声明函》或财政部会同有关部门规定的有关证明文件的，该产品视为本国产品，给予政策性价格扣除，用扣除后的价格参与评审（未提供上述证明文件或不符合条件的，不享受价格扣除优惠）。</w:t>
            </w:r>
          </w:p>
          <w:p w14:paraId="10DB3537">
            <w:pPr>
              <w:spacing w:line="360" w:lineRule="exact"/>
              <w:ind w:firstLine="420" w:firstLineChars="200"/>
              <w:jc w:val="left"/>
              <w:rPr>
                <w:rFonts w:ascii="宋体" w:hAnsi="宋体" w:cs="宋体"/>
                <w:kern w:val="0"/>
                <w:szCs w:val="21"/>
              </w:rPr>
            </w:pPr>
            <w:r>
              <w:rPr>
                <w:rFonts w:hint="eastAsia" w:ascii="宋体" w:hAnsi="宋体" w:cs="宋体"/>
                <w:kern w:val="0"/>
                <w:szCs w:val="21"/>
              </w:rPr>
              <w:t>6.满足招标文件要求且评标报价最低的评标报价为评标基准价，其价格分为满分。</w:t>
            </w:r>
          </w:p>
          <w:p w14:paraId="1C4BDF8D">
            <w:pPr>
              <w:pStyle w:val="12"/>
              <w:ind w:firstLine="420" w:firstLineChars="200"/>
              <w:rPr>
                <w:rFonts w:ascii="宋体" w:hAnsi="宋体" w:cs="宋体"/>
                <w:sz w:val="21"/>
                <w:szCs w:val="21"/>
              </w:rPr>
            </w:pPr>
            <w:r>
              <w:rPr>
                <w:rFonts w:hint="eastAsia" w:ascii="宋体" w:hAnsi="宋体" w:cs="宋体"/>
                <w:bCs/>
                <w:sz w:val="21"/>
                <w:szCs w:val="21"/>
              </w:rPr>
              <w:t>价格分计算公式：价格分=（评标基准价／评标报价）×30分</w:t>
            </w:r>
          </w:p>
        </w:tc>
      </w:tr>
      <w:tr w14:paraId="215D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Align w:val="center"/>
          </w:tcPr>
          <w:p w14:paraId="759503B8">
            <w:pPr>
              <w:adjustRightInd w:val="0"/>
              <w:spacing w:line="360" w:lineRule="auto"/>
              <w:jc w:val="center"/>
              <w:textAlignment w:val="baseline"/>
              <w:rPr>
                <w:rFonts w:ascii="宋体" w:hAnsi="宋体" w:cs="宋体"/>
                <w:b/>
                <w:szCs w:val="21"/>
              </w:rPr>
            </w:pPr>
            <w:r>
              <w:rPr>
                <w:rFonts w:hint="eastAsia" w:ascii="宋体" w:hAnsi="宋体" w:cs="宋体"/>
                <w:b/>
                <w:szCs w:val="21"/>
              </w:rPr>
              <w:t>2</w:t>
            </w:r>
          </w:p>
        </w:tc>
        <w:tc>
          <w:tcPr>
            <w:tcW w:w="1320" w:type="dxa"/>
            <w:vAlign w:val="center"/>
          </w:tcPr>
          <w:p w14:paraId="4F81E53D">
            <w:pPr>
              <w:adjustRightInd w:val="0"/>
              <w:spacing w:line="360" w:lineRule="auto"/>
              <w:ind w:left="-105" w:leftChars="-50" w:right="-105" w:rightChars="-50"/>
              <w:jc w:val="center"/>
              <w:textAlignment w:val="baseline"/>
              <w:rPr>
                <w:rFonts w:ascii="宋体" w:hAnsi="宋体" w:cs="宋体"/>
                <w:szCs w:val="21"/>
              </w:rPr>
            </w:pPr>
            <w:r>
              <w:rPr>
                <w:rFonts w:hint="eastAsia" w:ascii="宋体" w:hAnsi="宋体" w:cs="宋体"/>
                <w:szCs w:val="21"/>
              </w:rPr>
              <w:t>技术部分</w:t>
            </w:r>
          </w:p>
          <w:p w14:paraId="4B68D64D">
            <w:pPr>
              <w:adjustRightInd w:val="0"/>
              <w:spacing w:line="360" w:lineRule="auto"/>
              <w:ind w:left="-199" w:leftChars="-95" w:right="-105" w:rightChars="-50"/>
              <w:jc w:val="center"/>
              <w:textAlignment w:val="baseline"/>
              <w:rPr>
                <w:rFonts w:ascii="宋体" w:hAnsi="宋体" w:cs="宋体"/>
                <w:spacing w:val="-18"/>
                <w:szCs w:val="21"/>
              </w:rPr>
            </w:pPr>
            <w:r>
              <w:rPr>
                <w:rFonts w:hint="eastAsia" w:ascii="宋体" w:hAnsi="宋体" w:cs="宋体"/>
                <w:szCs w:val="21"/>
              </w:rPr>
              <w:t>（满分</w:t>
            </w:r>
            <w:r>
              <w:rPr>
                <w:rFonts w:hint="eastAsia" w:ascii="宋体" w:hAnsi="宋体" w:cs="宋体"/>
                <w:szCs w:val="21"/>
                <w:u w:val="single"/>
              </w:rPr>
              <w:t xml:space="preserve"> 40 </w:t>
            </w:r>
            <w:r>
              <w:rPr>
                <w:rFonts w:hint="eastAsia" w:ascii="宋体" w:hAnsi="宋体" w:cs="宋体"/>
                <w:szCs w:val="21"/>
              </w:rPr>
              <w:t>分）</w:t>
            </w:r>
          </w:p>
        </w:tc>
        <w:tc>
          <w:tcPr>
            <w:tcW w:w="1260" w:type="dxa"/>
            <w:vAlign w:val="center"/>
          </w:tcPr>
          <w:p w14:paraId="7499BDE1">
            <w:pPr>
              <w:adjustRightInd w:val="0"/>
              <w:spacing w:line="360" w:lineRule="auto"/>
              <w:ind w:right="-120" w:rightChars="-57"/>
              <w:jc w:val="center"/>
              <w:textAlignment w:val="baseline"/>
              <w:rPr>
                <w:rFonts w:ascii="宋体" w:hAnsi="宋体" w:cs="宋体"/>
                <w:szCs w:val="21"/>
              </w:rPr>
            </w:pPr>
            <w:r>
              <w:rPr>
                <w:rFonts w:hint="eastAsia" w:ascii="宋体" w:hAnsi="宋体" w:cs="宋体"/>
                <w:szCs w:val="21"/>
              </w:rPr>
              <w:t>对招标文件技术指标响应程度</w:t>
            </w:r>
          </w:p>
          <w:p w14:paraId="59172960">
            <w:pPr>
              <w:adjustRightInd w:val="0"/>
              <w:spacing w:line="360" w:lineRule="auto"/>
              <w:ind w:left="-199" w:leftChars="-95" w:right="-120" w:rightChars="-57"/>
              <w:jc w:val="center"/>
              <w:textAlignment w:val="baseline"/>
              <w:rPr>
                <w:rFonts w:ascii="宋体" w:hAnsi="宋体" w:cs="宋体"/>
                <w:szCs w:val="21"/>
                <w:u w:val="single"/>
              </w:rPr>
            </w:pPr>
            <w:r>
              <w:rPr>
                <w:rFonts w:hint="eastAsia" w:ascii="宋体" w:hAnsi="宋体" w:cs="宋体"/>
                <w:szCs w:val="21"/>
              </w:rPr>
              <w:t>（满分</w:t>
            </w:r>
            <w:r>
              <w:rPr>
                <w:rFonts w:hint="eastAsia" w:ascii="宋体" w:hAnsi="宋体" w:cs="宋体"/>
                <w:szCs w:val="21"/>
                <w:u w:val="single"/>
              </w:rPr>
              <w:t>40</w:t>
            </w:r>
            <w:r>
              <w:rPr>
                <w:rFonts w:hint="eastAsia" w:ascii="宋体" w:hAnsi="宋体" w:cs="宋体"/>
                <w:szCs w:val="21"/>
              </w:rPr>
              <w:t>分）</w:t>
            </w:r>
          </w:p>
        </w:tc>
        <w:tc>
          <w:tcPr>
            <w:tcW w:w="6345" w:type="dxa"/>
            <w:vAlign w:val="center"/>
          </w:tcPr>
          <w:p w14:paraId="33554BB2">
            <w:pPr>
              <w:spacing w:line="360" w:lineRule="exact"/>
              <w:ind w:firstLine="420" w:firstLineChars="200"/>
              <w:jc w:val="left"/>
              <w:rPr>
                <w:rFonts w:ascii="宋体" w:hAnsi="宋体" w:cs="宋体"/>
                <w:kern w:val="0"/>
                <w:szCs w:val="21"/>
              </w:rPr>
            </w:pPr>
            <w:r>
              <w:rPr>
                <w:rFonts w:hint="eastAsia" w:ascii="宋体" w:hAnsi="宋体" w:cs="宋体"/>
                <w:kern w:val="0"/>
                <w:szCs w:val="21"/>
              </w:rPr>
              <w:t>根据供应商对招标文件技术指标的响应程度，包括响应设备性能指标、参数、数量、先进性、科技性等，由评标小组根据招标响应文件的情况酌情打分。满分为40分</w:t>
            </w:r>
          </w:p>
          <w:p w14:paraId="77AC9917">
            <w:pPr>
              <w:spacing w:line="360" w:lineRule="exact"/>
              <w:ind w:firstLine="420" w:firstLineChars="200"/>
              <w:jc w:val="left"/>
              <w:rPr>
                <w:rFonts w:ascii="宋体" w:hAnsi="宋体" w:cs="宋体"/>
                <w:kern w:val="0"/>
                <w:szCs w:val="21"/>
              </w:rPr>
            </w:pPr>
            <w:r>
              <w:rPr>
                <w:rFonts w:hint="eastAsia" w:ascii="宋体" w:hAnsi="宋体" w:cs="宋体"/>
                <w:kern w:val="0"/>
                <w:szCs w:val="21"/>
              </w:rPr>
              <w:t>①满足及优于采购要求的得基础分40分；</w:t>
            </w:r>
          </w:p>
          <w:p w14:paraId="201A09D6">
            <w:pPr>
              <w:spacing w:line="360" w:lineRule="exact"/>
              <w:ind w:firstLine="420" w:firstLineChars="200"/>
              <w:jc w:val="left"/>
              <w:rPr>
                <w:rFonts w:ascii="宋体" w:hAnsi="宋体" w:cs="宋体"/>
                <w:kern w:val="0"/>
                <w:szCs w:val="21"/>
              </w:rPr>
            </w:pPr>
            <w:r>
              <w:rPr>
                <w:rFonts w:hint="eastAsia" w:ascii="宋体" w:hAnsi="宋体" w:cs="宋体"/>
                <w:kern w:val="0"/>
                <w:szCs w:val="21"/>
              </w:rPr>
              <w:t>② 非</w:t>
            </w:r>
            <w:r>
              <w:rPr>
                <w:rFonts w:hint="eastAsia"/>
                <w:kern w:val="0"/>
              </w:rPr>
              <w:t>▲</w:t>
            </w:r>
            <w:r>
              <w:rPr>
                <w:rFonts w:hint="eastAsia" w:ascii="宋体" w:hAnsi="宋体" w:cs="宋体"/>
                <w:kern w:val="0"/>
                <w:szCs w:val="21"/>
              </w:rPr>
              <w:t>、■的技术条款有1条不满足，技术分扣1分，扣完为止。</w:t>
            </w:r>
          </w:p>
          <w:p w14:paraId="4D32CF33">
            <w:pPr>
              <w:spacing w:line="360" w:lineRule="exact"/>
              <w:ind w:firstLine="420" w:firstLineChars="200"/>
              <w:jc w:val="left"/>
              <w:rPr>
                <w:rFonts w:ascii="宋体" w:hAnsi="宋体" w:cs="宋体"/>
                <w:kern w:val="0"/>
                <w:szCs w:val="21"/>
              </w:rPr>
            </w:pPr>
            <w:r>
              <w:rPr>
                <w:rFonts w:hint="eastAsia" w:ascii="宋体" w:hAnsi="宋体" w:cs="宋体"/>
                <w:kern w:val="0"/>
                <w:szCs w:val="21"/>
              </w:rPr>
              <w:t>③ 带</w:t>
            </w:r>
            <w:r>
              <w:rPr>
                <w:rFonts w:hint="eastAsia"/>
                <w:kern w:val="0"/>
              </w:rPr>
              <w:t>▲</w:t>
            </w:r>
            <w:r>
              <w:rPr>
                <w:rFonts w:hint="eastAsia" w:ascii="宋体" w:hAnsi="宋体" w:cs="宋体"/>
                <w:kern w:val="0"/>
                <w:szCs w:val="21"/>
              </w:rPr>
              <w:t>的技术条款有1条不满足，技术分扣5分，扣完为止。</w:t>
            </w:r>
          </w:p>
          <w:p w14:paraId="4B045B2A">
            <w:pPr>
              <w:spacing w:line="360" w:lineRule="exact"/>
              <w:ind w:firstLine="420" w:firstLineChars="200"/>
              <w:jc w:val="left"/>
              <w:rPr>
                <w:rFonts w:ascii="宋体" w:hAnsi="宋体" w:cs="宋体"/>
                <w:kern w:val="0"/>
                <w:szCs w:val="21"/>
              </w:rPr>
            </w:pPr>
            <w:r>
              <w:rPr>
                <w:rFonts w:hint="eastAsia" w:ascii="宋体" w:hAnsi="宋体" w:cs="宋体"/>
                <w:kern w:val="0"/>
                <w:szCs w:val="21"/>
              </w:rPr>
              <w:t>④带■的技术条款有1条不满足，技术分扣2分，扣完为止。</w:t>
            </w:r>
          </w:p>
        </w:tc>
      </w:tr>
      <w:tr w14:paraId="41E0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jc w:val="center"/>
        </w:trPr>
        <w:tc>
          <w:tcPr>
            <w:tcW w:w="525" w:type="dxa"/>
            <w:vMerge w:val="restart"/>
            <w:vAlign w:val="center"/>
          </w:tcPr>
          <w:p w14:paraId="067B8958">
            <w:pPr>
              <w:adjustRightInd w:val="0"/>
              <w:spacing w:line="360" w:lineRule="auto"/>
              <w:jc w:val="center"/>
              <w:textAlignment w:val="baseline"/>
              <w:rPr>
                <w:rFonts w:ascii="宋体" w:hAnsi="宋体" w:cs="宋体"/>
                <w:b/>
                <w:szCs w:val="21"/>
              </w:rPr>
            </w:pPr>
            <w:r>
              <w:rPr>
                <w:rFonts w:hint="eastAsia" w:ascii="宋体" w:hAnsi="宋体" w:cs="宋体"/>
                <w:b/>
                <w:szCs w:val="21"/>
              </w:rPr>
              <w:t>3</w:t>
            </w:r>
          </w:p>
        </w:tc>
        <w:tc>
          <w:tcPr>
            <w:tcW w:w="1320" w:type="dxa"/>
            <w:vMerge w:val="restart"/>
            <w:vAlign w:val="center"/>
          </w:tcPr>
          <w:p w14:paraId="1CC1757D">
            <w:pPr>
              <w:adjustRightInd w:val="0"/>
              <w:spacing w:line="360" w:lineRule="auto"/>
              <w:jc w:val="center"/>
              <w:textAlignment w:val="baseline"/>
              <w:rPr>
                <w:rFonts w:ascii="宋体" w:hAnsi="宋体" w:cs="宋体"/>
                <w:bCs/>
                <w:szCs w:val="21"/>
              </w:rPr>
            </w:pPr>
            <w:r>
              <w:rPr>
                <w:rFonts w:hint="eastAsia" w:ascii="宋体" w:hAnsi="宋体" w:cs="宋体"/>
                <w:bCs/>
                <w:szCs w:val="21"/>
              </w:rPr>
              <w:t>实施</w:t>
            </w:r>
          </w:p>
          <w:p w14:paraId="56B93D6B">
            <w:pPr>
              <w:adjustRightInd w:val="0"/>
              <w:spacing w:line="360" w:lineRule="auto"/>
              <w:jc w:val="center"/>
              <w:textAlignment w:val="baseline"/>
              <w:rPr>
                <w:rFonts w:ascii="宋体" w:hAnsi="宋体" w:cs="宋体"/>
                <w:bCs/>
                <w:szCs w:val="21"/>
              </w:rPr>
            </w:pPr>
            <w:r>
              <w:rPr>
                <w:rFonts w:hint="eastAsia" w:ascii="宋体" w:hAnsi="宋体" w:cs="宋体"/>
                <w:bCs/>
                <w:szCs w:val="21"/>
              </w:rPr>
              <w:t>能力</w:t>
            </w:r>
          </w:p>
          <w:p w14:paraId="21BDE9C3">
            <w:pPr>
              <w:pStyle w:val="12"/>
              <w:ind w:left="-199" w:leftChars="-95" w:right="-136" w:rightChars="-65"/>
              <w:jc w:val="center"/>
              <w:rPr>
                <w:rFonts w:ascii="宋体" w:hAnsi="宋体" w:cs="宋体"/>
                <w:sz w:val="21"/>
                <w:szCs w:val="21"/>
              </w:rPr>
            </w:pPr>
            <w:r>
              <w:rPr>
                <w:rFonts w:hint="eastAsia" w:ascii="宋体" w:hAnsi="宋体" w:cs="宋体"/>
                <w:sz w:val="21"/>
                <w:szCs w:val="21"/>
              </w:rPr>
              <w:t>（满分</w:t>
            </w:r>
            <w:r>
              <w:rPr>
                <w:rFonts w:hint="eastAsia" w:ascii="宋体" w:hAnsi="宋体" w:cs="宋体"/>
                <w:sz w:val="21"/>
                <w:szCs w:val="21"/>
                <w:u w:val="single"/>
                <w:lang w:val="en-US" w:eastAsia="zh-CN"/>
              </w:rPr>
              <w:t>16</w:t>
            </w:r>
            <w:r>
              <w:rPr>
                <w:rFonts w:hint="eastAsia" w:ascii="宋体" w:hAnsi="宋体" w:cs="宋体"/>
                <w:sz w:val="21"/>
                <w:szCs w:val="21"/>
              </w:rPr>
              <w:t>分）</w:t>
            </w:r>
          </w:p>
          <w:p w14:paraId="4FD2BD75">
            <w:pPr>
              <w:adjustRightInd w:val="0"/>
              <w:spacing w:line="360" w:lineRule="auto"/>
              <w:jc w:val="center"/>
              <w:textAlignment w:val="baseline"/>
              <w:rPr>
                <w:rFonts w:ascii="宋体" w:hAnsi="宋体" w:cs="宋体"/>
                <w:szCs w:val="21"/>
              </w:rPr>
            </w:pPr>
          </w:p>
        </w:tc>
        <w:tc>
          <w:tcPr>
            <w:tcW w:w="1260" w:type="dxa"/>
            <w:tcMar>
              <w:left w:w="57" w:type="dxa"/>
              <w:right w:w="57" w:type="dxa"/>
            </w:tcMar>
            <w:vAlign w:val="center"/>
          </w:tcPr>
          <w:p w14:paraId="463DCB1F">
            <w:pPr>
              <w:spacing w:line="360" w:lineRule="exact"/>
              <w:jc w:val="center"/>
              <w:rPr>
                <w:rFonts w:ascii="宋体" w:hAnsi="宋体" w:cs="宋体"/>
                <w:kern w:val="0"/>
                <w:szCs w:val="21"/>
              </w:rPr>
            </w:pPr>
            <w:r>
              <w:rPr>
                <w:rFonts w:hint="eastAsia" w:ascii="宋体" w:hAnsi="宋体" w:cs="宋体"/>
                <w:kern w:val="0"/>
                <w:szCs w:val="21"/>
              </w:rPr>
              <w:t>业绩分</w:t>
            </w:r>
            <w:r>
              <w:rPr>
                <w:rFonts w:hint="eastAsia" w:ascii="宋体" w:hAnsi="宋体" w:cs="宋体"/>
                <w:kern w:val="0"/>
                <w:szCs w:val="21"/>
              </w:rPr>
              <w:br w:type="textWrapping"/>
            </w:r>
            <w:r>
              <w:rPr>
                <w:rFonts w:hint="eastAsia" w:ascii="宋体" w:hAnsi="宋体" w:cs="宋体"/>
                <w:kern w:val="0"/>
                <w:szCs w:val="21"/>
              </w:rPr>
              <w:t>（</w:t>
            </w:r>
            <w:r>
              <w:rPr>
                <w:rFonts w:hint="eastAsia" w:ascii="宋体" w:hAnsi="宋体" w:cs="宋体"/>
                <w:szCs w:val="21"/>
              </w:rPr>
              <w:t>满分</w:t>
            </w:r>
            <w:r>
              <w:rPr>
                <w:rFonts w:hint="eastAsia" w:ascii="宋体" w:hAnsi="宋体" w:cs="宋体"/>
                <w:kern w:val="0"/>
                <w:szCs w:val="21"/>
                <w:u w:val="single"/>
              </w:rPr>
              <w:t>5分</w:t>
            </w:r>
            <w:r>
              <w:rPr>
                <w:rFonts w:hint="eastAsia" w:ascii="宋体" w:hAnsi="宋体" w:cs="宋体"/>
                <w:kern w:val="0"/>
                <w:szCs w:val="21"/>
              </w:rPr>
              <w:t>）</w:t>
            </w:r>
          </w:p>
          <w:p w14:paraId="6FA1ACD7">
            <w:pPr>
              <w:spacing w:line="360" w:lineRule="exact"/>
              <w:ind w:firstLine="315" w:firstLineChars="150"/>
              <w:jc w:val="left"/>
              <w:rPr>
                <w:rFonts w:ascii="宋体" w:hAnsi="宋体" w:cs="宋体"/>
                <w:kern w:val="0"/>
                <w:szCs w:val="21"/>
              </w:rPr>
            </w:pPr>
          </w:p>
        </w:tc>
        <w:tc>
          <w:tcPr>
            <w:tcW w:w="6345" w:type="dxa"/>
            <w:vAlign w:val="center"/>
          </w:tcPr>
          <w:p w14:paraId="28218063">
            <w:pPr>
              <w:numPr>
                <w:ilvl w:val="255"/>
                <w:numId w:val="0"/>
              </w:numPr>
              <w:spacing w:line="360" w:lineRule="exact"/>
              <w:ind w:firstLine="420" w:firstLineChars="200"/>
              <w:jc w:val="left"/>
              <w:rPr>
                <w:rFonts w:ascii="宋体" w:hAnsi="宋体" w:cs="宋体"/>
                <w:kern w:val="0"/>
                <w:szCs w:val="21"/>
              </w:rPr>
            </w:pPr>
            <w:r>
              <w:rPr>
                <w:rFonts w:hint="eastAsia" w:ascii="宋体" w:hAnsi="宋体" w:cs="宋体"/>
                <w:kern w:val="0"/>
                <w:szCs w:val="21"/>
              </w:rPr>
              <w:t>所投同类项目近五年的销售业绩，与本项目采购同类产品的业绩证明文件（含合同原件的复印件及发票信息）作为支撑材料并提供用户信息备查，</w:t>
            </w:r>
            <w:r>
              <w:rPr>
                <w:rFonts w:hint="eastAsia" w:ascii="宋体" w:hAnsi="宋体" w:cs="宋体"/>
                <w:kern w:val="0"/>
                <w:szCs w:val="21"/>
                <w:lang w:val="en-US" w:eastAsia="zh-CN"/>
              </w:rPr>
              <w:t>中标后原件备查</w:t>
            </w:r>
            <w:r>
              <w:rPr>
                <w:rFonts w:hint="eastAsia" w:ascii="宋体" w:hAnsi="宋体" w:cs="宋体"/>
                <w:kern w:val="0"/>
                <w:szCs w:val="21"/>
              </w:rPr>
              <w:t>。每提供一份有效合同证明文件得1分，最多得 5分。</w:t>
            </w:r>
          </w:p>
          <w:p w14:paraId="5129369B">
            <w:pPr>
              <w:pStyle w:val="2"/>
              <w:spacing w:line="360" w:lineRule="exact"/>
              <w:ind w:firstLineChars="200"/>
            </w:pPr>
            <w:r>
              <w:rPr>
                <w:rFonts w:hint="eastAsia" w:ascii="宋体" w:hAnsi="宋体" w:cs="宋体"/>
                <w:kern w:val="0"/>
                <w:szCs w:val="21"/>
              </w:rPr>
              <w:t>以上证明材料复印件须加盖公章，未按照要求提供证明材料的不加分，中标后签定合同之前提供证书原件，供甲方查验真伪。</w:t>
            </w:r>
          </w:p>
          <w:p w14:paraId="3DEB2A6D">
            <w:pPr>
              <w:spacing w:line="360" w:lineRule="exact"/>
              <w:ind w:firstLine="420" w:firstLineChars="200"/>
              <w:jc w:val="left"/>
              <w:rPr>
                <w:rFonts w:ascii="宋体" w:hAnsi="宋体" w:cs="宋体"/>
                <w:kern w:val="0"/>
                <w:szCs w:val="21"/>
              </w:rPr>
            </w:pPr>
          </w:p>
        </w:tc>
      </w:tr>
      <w:tr w14:paraId="7945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jc w:val="center"/>
        </w:trPr>
        <w:tc>
          <w:tcPr>
            <w:tcW w:w="525" w:type="dxa"/>
            <w:vMerge w:val="continue"/>
            <w:vAlign w:val="center"/>
          </w:tcPr>
          <w:p w14:paraId="38FE5C0E">
            <w:pPr>
              <w:adjustRightInd w:val="0"/>
              <w:spacing w:line="360" w:lineRule="auto"/>
              <w:jc w:val="center"/>
              <w:textAlignment w:val="baseline"/>
              <w:rPr>
                <w:rFonts w:ascii="宋体" w:hAnsi="宋体" w:cs="宋体"/>
                <w:b/>
                <w:szCs w:val="21"/>
              </w:rPr>
            </w:pPr>
          </w:p>
        </w:tc>
        <w:tc>
          <w:tcPr>
            <w:tcW w:w="1320" w:type="dxa"/>
            <w:vMerge w:val="continue"/>
            <w:vAlign w:val="center"/>
          </w:tcPr>
          <w:p w14:paraId="4BDC29A4">
            <w:pPr>
              <w:adjustRightInd w:val="0"/>
              <w:spacing w:line="360" w:lineRule="auto"/>
              <w:jc w:val="center"/>
              <w:textAlignment w:val="baseline"/>
              <w:rPr>
                <w:rFonts w:ascii="宋体" w:hAnsi="宋体" w:cs="宋体"/>
                <w:szCs w:val="21"/>
              </w:rPr>
            </w:pPr>
          </w:p>
        </w:tc>
        <w:tc>
          <w:tcPr>
            <w:tcW w:w="1260" w:type="dxa"/>
            <w:tcMar>
              <w:left w:w="57" w:type="dxa"/>
              <w:right w:w="57" w:type="dxa"/>
            </w:tcMar>
            <w:vAlign w:val="center"/>
          </w:tcPr>
          <w:p w14:paraId="543FA8FC">
            <w:pPr>
              <w:spacing w:line="360" w:lineRule="exact"/>
              <w:ind w:firstLine="0" w:firstLineChars="0"/>
              <w:jc w:val="center"/>
              <w:rPr>
                <w:rFonts w:ascii="宋体" w:hAnsi="宋体" w:cs="宋体"/>
                <w:kern w:val="0"/>
                <w:szCs w:val="21"/>
              </w:rPr>
            </w:pPr>
            <w:r>
              <w:rPr>
                <w:rFonts w:hint="eastAsia" w:ascii="宋体" w:hAnsi="宋体" w:cs="宋体"/>
                <w:kern w:val="0"/>
                <w:szCs w:val="21"/>
              </w:rPr>
              <w:t>技术方案（满分5分）</w:t>
            </w:r>
          </w:p>
        </w:tc>
        <w:tc>
          <w:tcPr>
            <w:tcW w:w="6345" w:type="dxa"/>
            <w:vAlign w:val="center"/>
          </w:tcPr>
          <w:p w14:paraId="65B10567">
            <w:pPr>
              <w:spacing w:line="360" w:lineRule="exact"/>
              <w:ind w:firstLine="420" w:firstLineChars="200"/>
              <w:jc w:val="left"/>
              <w:rPr>
                <w:rFonts w:ascii="宋体" w:hAnsi="宋体" w:cs="宋体"/>
                <w:kern w:val="0"/>
                <w:szCs w:val="21"/>
              </w:rPr>
            </w:pPr>
            <w:r>
              <w:rPr>
                <w:rFonts w:hint="eastAsia" w:ascii="宋体" w:hAnsi="宋体" w:cs="宋体"/>
                <w:kern w:val="0"/>
                <w:szCs w:val="21"/>
              </w:rPr>
              <w:t>2.技术方案专业能力比较</w:t>
            </w:r>
          </w:p>
          <w:p w14:paraId="32B5F505">
            <w:pPr>
              <w:spacing w:line="360" w:lineRule="exact"/>
              <w:ind w:firstLine="420" w:firstLineChars="200"/>
              <w:jc w:val="left"/>
              <w:rPr>
                <w:rFonts w:ascii="宋体" w:hAnsi="宋体" w:cs="宋体"/>
                <w:kern w:val="0"/>
                <w:szCs w:val="21"/>
              </w:rPr>
            </w:pPr>
            <w:r>
              <w:rPr>
                <w:rFonts w:hint="eastAsia" w:ascii="宋体" w:hAnsi="宋体"/>
                <w:bCs/>
                <w:szCs w:val="21"/>
              </w:rPr>
              <w:t>一档（1分）：</w:t>
            </w:r>
            <w:r>
              <w:rPr>
                <w:rFonts w:hint="eastAsia" w:ascii="宋体" w:hAnsi="宋体" w:cs="宋体"/>
                <w:kern w:val="0"/>
                <w:szCs w:val="21"/>
              </w:rPr>
              <w:t>产品性能部分满足采购人需求，性能稳定性、拓展性差，得1分；</w:t>
            </w:r>
          </w:p>
          <w:p w14:paraId="5A39342B">
            <w:pPr>
              <w:spacing w:line="360" w:lineRule="exact"/>
              <w:ind w:firstLine="420" w:firstLineChars="200"/>
              <w:jc w:val="left"/>
              <w:rPr>
                <w:rFonts w:ascii="宋体" w:hAnsi="宋体" w:cs="宋体"/>
                <w:kern w:val="0"/>
                <w:szCs w:val="21"/>
              </w:rPr>
            </w:pPr>
            <w:r>
              <w:rPr>
                <w:rFonts w:hint="eastAsia" w:ascii="宋体" w:hAnsi="宋体"/>
                <w:bCs/>
                <w:szCs w:val="21"/>
              </w:rPr>
              <w:t>二档（3分）：</w:t>
            </w:r>
            <w:r>
              <w:rPr>
                <w:rFonts w:hint="eastAsia" w:ascii="宋体" w:hAnsi="宋体" w:cs="宋体"/>
                <w:kern w:val="0"/>
                <w:szCs w:val="21"/>
              </w:rPr>
              <w:t>产品性能基本满足采购人需求，性能稳定性、拓展性较差或不可知，得3分；</w:t>
            </w:r>
          </w:p>
          <w:p w14:paraId="473CD9F5">
            <w:pPr>
              <w:spacing w:line="360" w:lineRule="exact"/>
              <w:ind w:firstLine="420" w:firstLineChars="200"/>
              <w:jc w:val="left"/>
              <w:rPr>
                <w:rFonts w:ascii="宋体" w:hAnsi="宋体" w:cs="宋体"/>
                <w:kern w:val="0"/>
                <w:szCs w:val="21"/>
              </w:rPr>
            </w:pPr>
            <w:r>
              <w:rPr>
                <w:rFonts w:hint="eastAsia" w:ascii="宋体" w:hAnsi="宋体"/>
                <w:bCs/>
                <w:szCs w:val="21"/>
              </w:rPr>
              <w:t>三挡（5分）：</w:t>
            </w:r>
            <w:r>
              <w:rPr>
                <w:rFonts w:hint="eastAsia" w:ascii="宋体" w:hAnsi="宋体" w:cs="宋体"/>
                <w:kern w:val="0"/>
                <w:szCs w:val="21"/>
              </w:rPr>
              <w:t>产品性能完全满足采购人需求，整体性能优良，设计理念先进，仪器性能稳定，拓展性强，得5分；</w:t>
            </w:r>
          </w:p>
          <w:p w14:paraId="31AE37E7">
            <w:pPr>
              <w:spacing w:line="360" w:lineRule="exact"/>
              <w:ind w:firstLine="420" w:firstLineChars="200"/>
              <w:jc w:val="left"/>
              <w:rPr>
                <w:rFonts w:ascii="宋体" w:hAnsi="宋体" w:cs="宋体"/>
                <w:kern w:val="0"/>
                <w:szCs w:val="21"/>
              </w:rPr>
            </w:pPr>
            <w:r>
              <w:rPr>
                <w:rFonts w:hint="eastAsia" w:ascii="宋体" w:hAnsi="宋体" w:cs="宋体"/>
                <w:kern w:val="0"/>
                <w:szCs w:val="21"/>
              </w:rPr>
              <w:t>未响应不得分。</w:t>
            </w:r>
          </w:p>
        </w:tc>
      </w:tr>
      <w:tr w14:paraId="0567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525" w:type="dxa"/>
            <w:vMerge w:val="continue"/>
            <w:vAlign w:val="center"/>
          </w:tcPr>
          <w:p w14:paraId="66A34347">
            <w:pPr>
              <w:adjustRightInd w:val="0"/>
              <w:spacing w:line="360" w:lineRule="auto"/>
              <w:jc w:val="center"/>
              <w:textAlignment w:val="baseline"/>
              <w:rPr>
                <w:rFonts w:ascii="宋体" w:hAnsi="宋体" w:cs="宋体"/>
                <w:b/>
                <w:szCs w:val="21"/>
              </w:rPr>
            </w:pPr>
          </w:p>
        </w:tc>
        <w:tc>
          <w:tcPr>
            <w:tcW w:w="1320" w:type="dxa"/>
            <w:vMerge w:val="continue"/>
            <w:vAlign w:val="center"/>
          </w:tcPr>
          <w:p w14:paraId="5DC83E0B">
            <w:pPr>
              <w:adjustRightInd w:val="0"/>
              <w:spacing w:line="360" w:lineRule="auto"/>
              <w:jc w:val="center"/>
              <w:textAlignment w:val="baseline"/>
              <w:rPr>
                <w:rFonts w:ascii="宋体" w:hAnsi="宋体" w:cs="宋体"/>
                <w:szCs w:val="21"/>
              </w:rPr>
            </w:pPr>
          </w:p>
        </w:tc>
        <w:tc>
          <w:tcPr>
            <w:tcW w:w="1260" w:type="dxa"/>
            <w:tcMar>
              <w:left w:w="57" w:type="dxa"/>
              <w:right w:w="57" w:type="dxa"/>
            </w:tcMar>
            <w:vAlign w:val="center"/>
          </w:tcPr>
          <w:p w14:paraId="6855A2A7">
            <w:pPr>
              <w:spacing w:line="360" w:lineRule="exact"/>
              <w:jc w:val="center"/>
              <w:rPr>
                <w:rFonts w:ascii="宋体" w:hAnsi="宋体" w:cs="宋体"/>
                <w:kern w:val="0"/>
                <w:szCs w:val="21"/>
              </w:rPr>
            </w:pPr>
            <w:r>
              <w:rPr>
                <w:rFonts w:hint="eastAsia" w:ascii="宋体" w:hAnsi="宋体" w:cs="宋体"/>
                <w:kern w:val="0"/>
                <w:szCs w:val="21"/>
                <w:highlight w:val="none"/>
              </w:rPr>
              <w:t>创新能力</w:t>
            </w:r>
            <w:r>
              <w:rPr>
                <w:rFonts w:hint="eastAsia" w:ascii="宋体" w:hAnsi="宋体" w:cs="宋体"/>
                <w:kern w:val="0"/>
                <w:szCs w:val="21"/>
              </w:rPr>
              <w:t>（</w:t>
            </w:r>
            <w:r>
              <w:rPr>
                <w:rFonts w:hint="eastAsia" w:ascii="宋体" w:hAnsi="宋体" w:cs="宋体"/>
                <w:szCs w:val="21"/>
              </w:rPr>
              <w:t>满分</w:t>
            </w:r>
            <w:r>
              <w:rPr>
                <w:rFonts w:hint="eastAsia" w:ascii="宋体" w:hAnsi="宋体" w:cs="宋体"/>
                <w:kern w:val="0"/>
                <w:szCs w:val="21"/>
                <w:u w:val="single"/>
              </w:rPr>
              <w:t>6</w:t>
            </w:r>
            <w:r>
              <w:rPr>
                <w:rFonts w:hint="eastAsia" w:ascii="宋体" w:hAnsi="宋体" w:cs="宋体"/>
                <w:kern w:val="0"/>
                <w:szCs w:val="21"/>
              </w:rPr>
              <w:t>分）</w:t>
            </w:r>
          </w:p>
        </w:tc>
        <w:tc>
          <w:tcPr>
            <w:tcW w:w="6345" w:type="dxa"/>
            <w:vAlign w:val="center"/>
          </w:tcPr>
          <w:p w14:paraId="2E8F6BCA">
            <w:pPr>
              <w:spacing w:line="360" w:lineRule="exact"/>
              <w:ind w:firstLine="420" w:firstLineChars="200"/>
              <w:jc w:val="left"/>
              <w:rPr>
                <w:rFonts w:ascii="宋体" w:hAnsi="宋体" w:cs="宋体"/>
                <w:kern w:val="0"/>
                <w:szCs w:val="21"/>
              </w:rPr>
            </w:pPr>
            <w:r>
              <w:rPr>
                <w:rFonts w:hint="eastAsia" w:ascii="宋体" w:hAnsi="宋体" w:cs="宋体"/>
                <w:kern w:val="0"/>
                <w:szCs w:val="21"/>
              </w:rPr>
              <w:t>创新能力：暂存柜或试剂柜制造商具有本项目有关产品的部件（包括但不限于废气、材料、风机、电子标签等关键部件）的科技创利新成果，每提供有效证明材料得3分，满分6分。其中外观专利、实用新型专利等非核心专利成果不计入得分，专利过期或不再享有专利权的不计入得分，软件著作权不计入得分（证明材料：提供证书复印件并加盖供应商公章，中标后签定合同之前提供证书原件，供甲方查验真伪）</w:t>
            </w:r>
          </w:p>
        </w:tc>
      </w:tr>
      <w:tr w14:paraId="0590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14:paraId="75A45BA2">
            <w:pPr>
              <w:adjustRightInd w:val="0"/>
              <w:spacing w:line="360" w:lineRule="auto"/>
              <w:jc w:val="center"/>
              <w:textAlignment w:val="baseline"/>
              <w:rPr>
                <w:rFonts w:ascii="宋体" w:hAnsi="宋体" w:cs="宋体"/>
                <w:b/>
                <w:szCs w:val="21"/>
              </w:rPr>
            </w:pPr>
            <w:r>
              <w:rPr>
                <w:rFonts w:hint="eastAsia" w:ascii="宋体" w:hAnsi="宋体" w:cs="宋体"/>
                <w:b/>
                <w:szCs w:val="21"/>
              </w:rPr>
              <w:t>4</w:t>
            </w:r>
          </w:p>
        </w:tc>
        <w:tc>
          <w:tcPr>
            <w:tcW w:w="1320" w:type="dxa"/>
            <w:vAlign w:val="center"/>
          </w:tcPr>
          <w:p w14:paraId="2A62EEB9">
            <w:pPr>
              <w:adjustRightInd w:val="0"/>
              <w:spacing w:line="360" w:lineRule="auto"/>
              <w:ind w:left="-199" w:leftChars="-95" w:right="-105" w:rightChars="-50"/>
              <w:jc w:val="center"/>
              <w:textAlignment w:val="baseline"/>
              <w:rPr>
                <w:rFonts w:ascii="宋体" w:hAnsi="宋体" w:cs="宋体"/>
                <w:szCs w:val="21"/>
              </w:rPr>
            </w:pPr>
            <w:r>
              <w:rPr>
                <w:rFonts w:hint="eastAsia" w:ascii="宋体" w:hAnsi="宋体" w:cs="宋体"/>
                <w:szCs w:val="21"/>
              </w:rPr>
              <w:t>售后服务</w:t>
            </w:r>
          </w:p>
          <w:p w14:paraId="148DAAA0">
            <w:pPr>
              <w:adjustRightInd w:val="0"/>
              <w:spacing w:line="360" w:lineRule="auto"/>
              <w:ind w:left="-199" w:leftChars="-95" w:right="-105" w:rightChars="-50"/>
              <w:jc w:val="center"/>
              <w:textAlignment w:val="baseline"/>
              <w:rPr>
                <w:rFonts w:ascii="宋体" w:hAnsi="宋体" w:cs="宋体"/>
                <w:szCs w:val="21"/>
              </w:rPr>
            </w:pPr>
            <w:r>
              <w:rPr>
                <w:rFonts w:hint="eastAsia" w:ascii="宋体" w:hAnsi="宋体" w:cs="宋体"/>
                <w:szCs w:val="21"/>
              </w:rPr>
              <w:t>（满分</w:t>
            </w:r>
            <w:r>
              <w:rPr>
                <w:rFonts w:hint="eastAsia" w:ascii="宋体" w:hAnsi="宋体" w:cs="宋体"/>
                <w:szCs w:val="21"/>
                <w:u w:val="single"/>
              </w:rPr>
              <w:t>7</w:t>
            </w:r>
            <w:r>
              <w:rPr>
                <w:rFonts w:hint="eastAsia" w:ascii="宋体" w:hAnsi="宋体" w:cs="宋体"/>
                <w:szCs w:val="21"/>
              </w:rPr>
              <w:t>分）</w:t>
            </w:r>
          </w:p>
        </w:tc>
        <w:tc>
          <w:tcPr>
            <w:tcW w:w="1260" w:type="dxa"/>
            <w:tcMar>
              <w:left w:w="57" w:type="dxa"/>
              <w:right w:w="57" w:type="dxa"/>
            </w:tcMar>
            <w:vAlign w:val="center"/>
          </w:tcPr>
          <w:p w14:paraId="2FC7B710">
            <w:pPr>
              <w:spacing w:line="360" w:lineRule="exact"/>
              <w:jc w:val="center"/>
              <w:rPr>
                <w:rFonts w:ascii="宋体" w:hAnsi="宋体" w:cs="宋体"/>
                <w:kern w:val="0"/>
                <w:szCs w:val="21"/>
              </w:rPr>
            </w:pPr>
            <w:r>
              <w:rPr>
                <w:rFonts w:hint="eastAsia" w:ascii="宋体" w:hAnsi="宋体" w:cs="宋体"/>
                <w:kern w:val="0"/>
                <w:szCs w:val="21"/>
              </w:rPr>
              <w:t>售后服务方案</w:t>
            </w:r>
          </w:p>
          <w:p w14:paraId="766D95AE">
            <w:pPr>
              <w:spacing w:line="360" w:lineRule="exact"/>
              <w:jc w:val="left"/>
              <w:rPr>
                <w:rFonts w:ascii="宋体" w:hAnsi="宋体" w:cs="宋体"/>
                <w:kern w:val="0"/>
                <w:szCs w:val="21"/>
              </w:rPr>
            </w:pPr>
            <w:r>
              <w:rPr>
                <w:rFonts w:hint="eastAsia" w:ascii="宋体" w:hAnsi="宋体" w:cs="宋体"/>
                <w:kern w:val="0"/>
                <w:szCs w:val="21"/>
              </w:rPr>
              <w:t>（满分7分）</w:t>
            </w:r>
          </w:p>
        </w:tc>
        <w:tc>
          <w:tcPr>
            <w:tcW w:w="6345" w:type="dxa"/>
            <w:vAlign w:val="center"/>
          </w:tcPr>
          <w:p w14:paraId="1D99979B">
            <w:pPr>
              <w:spacing w:line="360" w:lineRule="exact"/>
              <w:ind w:firstLine="420" w:firstLineChars="200"/>
              <w:jc w:val="left"/>
              <w:rPr>
                <w:rFonts w:ascii="宋体" w:hAnsi="宋体" w:cs="宋体"/>
                <w:kern w:val="0"/>
                <w:szCs w:val="21"/>
              </w:rPr>
            </w:pPr>
            <w:r>
              <w:rPr>
                <w:rFonts w:hint="eastAsia" w:ascii="宋体" w:hAnsi="宋体" w:cs="宋体"/>
                <w:kern w:val="0"/>
                <w:szCs w:val="21"/>
              </w:rPr>
              <w:t>综合比较各投标方是否提出完整合理的有针对性地售后服务方案；能否很好满足采购人的需要等（包括但不限于：交货期、安装、调试，售后服务承诺，保修服务承诺，售后服务机构，上门现场服务、故障响应及恢复时间、定期巡检及技术支持等），是否能从采购人的角度考虑，提出针对性的售后服务；</w:t>
            </w:r>
          </w:p>
          <w:p w14:paraId="20480686">
            <w:pPr>
              <w:spacing w:line="360" w:lineRule="exact"/>
              <w:ind w:firstLine="420" w:firstLineChars="200"/>
              <w:jc w:val="left"/>
              <w:rPr>
                <w:rFonts w:ascii="宋体" w:hAnsi="宋体" w:cs="宋体"/>
                <w:kern w:val="0"/>
                <w:szCs w:val="21"/>
              </w:rPr>
            </w:pPr>
            <w:r>
              <w:rPr>
                <w:rFonts w:hint="eastAsia" w:ascii="宋体" w:hAnsi="宋体"/>
                <w:bCs/>
                <w:szCs w:val="21"/>
              </w:rPr>
              <w:t>一档（1分）：</w:t>
            </w:r>
            <w:r>
              <w:rPr>
                <w:rFonts w:hint="eastAsia" w:ascii="宋体" w:hAnsi="宋体" w:cs="宋体"/>
                <w:kern w:val="0"/>
                <w:szCs w:val="21"/>
              </w:rPr>
              <w:t>售后服务质量有明显欠缺，人员调度、响应速度有明显欠缺，现场服务措施及售后服务保障不完善，满租本项目的需求存在困难，得1分。</w:t>
            </w:r>
          </w:p>
          <w:p w14:paraId="58A33260">
            <w:pPr>
              <w:spacing w:line="360" w:lineRule="exact"/>
              <w:ind w:firstLine="420" w:firstLineChars="200"/>
              <w:jc w:val="left"/>
              <w:rPr>
                <w:rFonts w:ascii="宋体" w:hAnsi="宋体" w:cs="宋体"/>
                <w:kern w:val="0"/>
                <w:szCs w:val="21"/>
              </w:rPr>
            </w:pPr>
            <w:r>
              <w:rPr>
                <w:rFonts w:hint="eastAsia" w:ascii="宋体" w:hAnsi="宋体"/>
                <w:bCs/>
                <w:szCs w:val="21"/>
              </w:rPr>
              <w:t>二档（4分）：</w:t>
            </w:r>
            <w:r>
              <w:rPr>
                <w:rFonts w:hint="eastAsia" w:ascii="宋体" w:hAnsi="宋体" w:cs="宋体"/>
                <w:kern w:val="0"/>
                <w:szCs w:val="21"/>
              </w:rPr>
              <w:t xml:space="preserve">方案内容较为齐全，服务保障体系较为完善，售后服务质量较高，人员调度、响应速度快，现场服务措施及售后服务保障较为完善，得4分。 </w:t>
            </w:r>
          </w:p>
          <w:p w14:paraId="5332E43D">
            <w:pPr>
              <w:spacing w:line="360" w:lineRule="exact"/>
              <w:ind w:firstLine="420" w:firstLineChars="200"/>
              <w:jc w:val="left"/>
              <w:rPr>
                <w:rFonts w:ascii="宋体" w:hAnsi="宋体" w:cs="宋体"/>
                <w:kern w:val="0"/>
                <w:szCs w:val="21"/>
              </w:rPr>
            </w:pPr>
            <w:r>
              <w:rPr>
                <w:rFonts w:hint="eastAsia" w:ascii="宋体" w:hAnsi="宋体"/>
                <w:bCs/>
                <w:szCs w:val="21"/>
              </w:rPr>
              <w:t>三挡（7分）：</w:t>
            </w:r>
            <w:r>
              <w:rPr>
                <w:rFonts w:hint="eastAsia" w:ascii="宋体" w:hAnsi="宋体" w:cs="宋体"/>
                <w:kern w:val="0"/>
                <w:szCs w:val="21"/>
              </w:rPr>
              <w:t>方案内容齐全、服务保障体系完善，售后服务质量高，人员调度、响应速度快，现场服务措施完善、售后服务有保障，完全符合本项目的需求，得7分。</w:t>
            </w:r>
          </w:p>
          <w:p w14:paraId="1FB20C9A">
            <w:pPr>
              <w:spacing w:line="360" w:lineRule="exact"/>
              <w:ind w:firstLine="420" w:firstLineChars="200"/>
              <w:jc w:val="left"/>
              <w:rPr>
                <w:rFonts w:ascii="宋体" w:hAnsi="宋体" w:cs="宋体"/>
                <w:kern w:val="0"/>
                <w:szCs w:val="21"/>
              </w:rPr>
            </w:pPr>
            <w:r>
              <w:rPr>
                <w:rFonts w:hint="eastAsia" w:ascii="宋体" w:hAnsi="宋体" w:cs="宋体"/>
                <w:kern w:val="0"/>
                <w:szCs w:val="21"/>
              </w:rPr>
              <w:t>未提供方案的，得0分。</w:t>
            </w:r>
          </w:p>
        </w:tc>
      </w:tr>
      <w:tr w14:paraId="3BE1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14:paraId="25FA15A0">
            <w:pPr>
              <w:adjustRightInd w:val="0"/>
              <w:spacing w:line="360" w:lineRule="auto"/>
              <w:jc w:val="center"/>
              <w:textAlignment w:val="baseline"/>
              <w:rPr>
                <w:rFonts w:ascii="宋体" w:hAnsi="宋体" w:cs="宋体"/>
                <w:b/>
                <w:szCs w:val="21"/>
              </w:rPr>
            </w:pPr>
            <w:r>
              <w:rPr>
                <w:rFonts w:hint="eastAsia" w:ascii="宋体" w:hAnsi="宋体" w:cs="宋体"/>
                <w:b/>
                <w:szCs w:val="21"/>
              </w:rPr>
              <w:t>5</w:t>
            </w:r>
          </w:p>
        </w:tc>
        <w:tc>
          <w:tcPr>
            <w:tcW w:w="1320" w:type="dxa"/>
            <w:vAlign w:val="center"/>
          </w:tcPr>
          <w:p w14:paraId="10B8EE5C">
            <w:pPr>
              <w:spacing w:line="360" w:lineRule="exact"/>
              <w:jc w:val="left"/>
              <w:rPr>
                <w:rFonts w:ascii="宋体" w:hAnsi="宋体" w:cs="宋体"/>
                <w:kern w:val="0"/>
                <w:szCs w:val="21"/>
              </w:rPr>
            </w:pPr>
            <w:r>
              <w:rPr>
                <w:rFonts w:hint="eastAsia" w:ascii="宋体" w:hAnsi="宋体" w:cs="宋体"/>
                <w:kern w:val="0"/>
                <w:szCs w:val="21"/>
              </w:rPr>
              <w:t>设计方案</w:t>
            </w:r>
          </w:p>
          <w:p w14:paraId="40206C18">
            <w:pPr>
              <w:spacing w:line="360" w:lineRule="exact"/>
              <w:jc w:val="left"/>
              <w:rPr>
                <w:rFonts w:ascii="宋体" w:hAnsi="宋体" w:cs="宋体"/>
                <w:kern w:val="0"/>
                <w:szCs w:val="21"/>
              </w:rPr>
            </w:pPr>
            <w:r>
              <w:rPr>
                <w:rFonts w:hint="eastAsia" w:ascii="宋体" w:hAnsi="宋体" w:cs="宋体"/>
                <w:szCs w:val="21"/>
              </w:rPr>
              <w:t>（满分</w:t>
            </w:r>
            <w:r>
              <w:rPr>
                <w:rFonts w:hint="eastAsia" w:ascii="宋体" w:hAnsi="宋体" w:cs="宋体"/>
                <w:szCs w:val="21"/>
                <w:u w:val="single"/>
              </w:rPr>
              <w:t>7</w:t>
            </w:r>
            <w:r>
              <w:rPr>
                <w:rFonts w:hint="eastAsia" w:ascii="宋体" w:hAnsi="宋体" w:cs="宋体"/>
                <w:szCs w:val="21"/>
              </w:rPr>
              <w:t>分）</w:t>
            </w:r>
          </w:p>
        </w:tc>
        <w:tc>
          <w:tcPr>
            <w:tcW w:w="1260" w:type="dxa"/>
            <w:tcMar>
              <w:left w:w="57" w:type="dxa"/>
              <w:right w:w="57" w:type="dxa"/>
            </w:tcMar>
            <w:vAlign w:val="center"/>
          </w:tcPr>
          <w:p w14:paraId="304F0B81">
            <w:pPr>
              <w:spacing w:line="360" w:lineRule="exact"/>
              <w:jc w:val="left"/>
              <w:rPr>
                <w:rFonts w:ascii="宋体" w:hAnsi="宋体" w:cs="宋体"/>
                <w:kern w:val="0"/>
                <w:szCs w:val="21"/>
              </w:rPr>
            </w:pPr>
            <w:r>
              <w:rPr>
                <w:rFonts w:hint="eastAsia" w:ascii="宋体" w:hAnsi="宋体" w:cs="宋体"/>
                <w:kern w:val="0"/>
                <w:szCs w:val="21"/>
              </w:rPr>
              <w:t>设计方案</w:t>
            </w:r>
          </w:p>
          <w:p w14:paraId="744EB642">
            <w:pPr>
              <w:spacing w:line="360" w:lineRule="exact"/>
              <w:jc w:val="left"/>
              <w:rPr>
                <w:rFonts w:ascii="宋体" w:hAnsi="宋体" w:cs="宋体"/>
                <w:kern w:val="0"/>
                <w:szCs w:val="21"/>
              </w:rPr>
            </w:pPr>
            <w:r>
              <w:rPr>
                <w:rFonts w:hint="eastAsia" w:ascii="宋体" w:hAnsi="宋体" w:cs="宋体"/>
                <w:szCs w:val="21"/>
              </w:rPr>
              <w:t>（满分</w:t>
            </w:r>
            <w:r>
              <w:rPr>
                <w:rFonts w:hint="eastAsia" w:ascii="宋体" w:hAnsi="宋体" w:cs="宋体"/>
                <w:szCs w:val="21"/>
                <w:u w:val="single"/>
              </w:rPr>
              <w:t>7</w:t>
            </w:r>
            <w:r>
              <w:rPr>
                <w:rFonts w:hint="eastAsia" w:ascii="宋体" w:hAnsi="宋体" w:cs="宋体"/>
                <w:szCs w:val="21"/>
              </w:rPr>
              <w:t>分）</w:t>
            </w:r>
          </w:p>
        </w:tc>
        <w:tc>
          <w:tcPr>
            <w:tcW w:w="6345" w:type="dxa"/>
            <w:vAlign w:val="center"/>
          </w:tcPr>
          <w:p w14:paraId="30AFE0C6">
            <w:pPr>
              <w:spacing w:line="360" w:lineRule="exact"/>
              <w:ind w:firstLine="420" w:firstLineChars="200"/>
              <w:jc w:val="left"/>
              <w:rPr>
                <w:rFonts w:ascii="宋体" w:hAnsi="宋体" w:cs="宋体"/>
                <w:kern w:val="0"/>
                <w:szCs w:val="21"/>
              </w:rPr>
            </w:pPr>
            <w:r>
              <w:rPr>
                <w:rFonts w:hint="eastAsia" w:ascii="宋体" w:hAnsi="宋体" w:cs="宋体"/>
                <w:kern w:val="0"/>
                <w:szCs w:val="21"/>
              </w:rPr>
              <w:t>根据本项目的特点以及实际情况，需提供针对本项目的完整设计方案，（并提供完整的设计图、3D效果图及设备安装摆放图、周边环境分析、管线管道走向及布局图）；需提供对本项目的实施重点、难点分析针对性性解决方案，保障措施完善。系统故障的应急预案：</w:t>
            </w:r>
          </w:p>
          <w:p w14:paraId="64D118BA">
            <w:pPr>
              <w:spacing w:line="360" w:lineRule="exact"/>
              <w:ind w:firstLine="420" w:firstLineChars="200"/>
              <w:jc w:val="left"/>
              <w:rPr>
                <w:rFonts w:ascii="宋体" w:hAnsi="宋体" w:cs="宋体"/>
                <w:kern w:val="0"/>
                <w:szCs w:val="21"/>
              </w:rPr>
            </w:pPr>
            <w:r>
              <w:rPr>
                <w:rFonts w:hint="eastAsia" w:ascii="宋体" w:hAnsi="宋体"/>
                <w:bCs/>
                <w:szCs w:val="21"/>
              </w:rPr>
              <w:t>一档（1分）：</w:t>
            </w:r>
            <w:r>
              <w:rPr>
                <w:rFonts w:hint="eastAsia" w:ascii="宋体" w:hAnsi="宋体" w:cs="宋体"/>
                <w:kern w:val="0"/>
                <w:szCs w:val="21"/>
              </w:rPr>
              <w:t>方案内容较不全，提供不完整的设计图、3D效果图及设备安装摆放图、周边环境分析、管线管道走向及布局图，对本项目的实施重点、难点分析针对性性解决方案，保障措施不完善得1分；</w:t>
            </w:r>
          </w:p>
          <w:p w14:paraId="6E0AC312">
            <w:pPr>
              <w:spacing w:line="360" w:lineRule="exact"/>
              <w:ind w:firstLine="420" w:firstLineChars="200"/>
              <w:jc w:val="left"/>
              <w:rPr>
                <w:rFonts w:ascii="宋体" w:hAnsi="宋体" w:cs="宋体"/>
                <w:kern w:val="0"/>
                <w:szCs w:val="21"/>
              </w:rPr>
            </w:pPr>
            <w:r>
              <w:rPr>
                <w:rFonts w:hint="eastAsia" w:ascii="宋体" w:hAnsi="宋体"/>
                <w:bCs/>
                <w:szCs w:val="21"/>
              </w:rPr>
              <w:t>二档（4分）：</w:t>
            </w:r>
            <w:r>
              <w:rPr>
                <w:rFonts w:hint="eastAsia" w:ascii="宋体" w:hAnsi="宋体" w:cs="宋体"/>
                <w:kern w:val="0"/>
                <w:szCs w:val="21"/>
              </w:rPr>
              <w:t>方案内容较为齐全，提供较为完整的设计图、3D效果图及设备安装摆放图、周边环境分析、管线管道走向及布局图，对本项目的实施重点、难点分析针对性性解决方案，保障措施较为完善得4分；</w:t>
            </w:r>
          </w:p>
          <w:p w14:paraId="56C62432">
            <w:pPr>
              <w:spacing w:line="360" w:lineRule="exact"/>
              <w:ind w:firstLine="420" w:firstLineChars="200"/>
              <w:jc w:val="left"/>
              <w:rPr>
                <w:rFonts w:ascii="宋体" w:hAnsi="宋体" w:cs="宋体"/>
                <w:kern w:val="0"/>
                <w:szCs w:val="21"/>
              </w:rPr>
            </w:pPr>
            <w:r>
              <w:rPr>
                <w:rFonts w:hint="eastAsia" w:ascii="宋体" w:hAnsi="宋体"/>
                <w:bCs/>
                <w:szCs w:val="21"/>
              </w:rPr>
              <w:t>三挡（7分）：</w:t>
            </w:r>
            <w:r>
              <w:rPr>
                <w:rFonts w:hint="eastAsia" w:ascii="宋体" w:hAnsi="宋体" w:cs="宋体"/>
                <w:kern w:val="0"/>
                <w:szCs w:val="21"/>
              </w:rPr>
              <w:t>方案内容齐全，提供完整的设计图、3D效果图及设备安装摆放图、周边环境分析、管线管道走向及布局图完全符合本项目要求，对本项目的实施重点、难点分析针对性性解决方案，保障措施完善得7分。</w:t>
            </w:r>
          </w:p>
          <w:p w14:paraId="4CF3E75A">
            <w:pPr>
              <w:spacing w:line="360" w:lineRule="exact"/>
              <w:ind w:firstLine="420" w:firstLineChars="200"/>
              <w:jc w:val="left"/>
              <w:rPr>
                <w:rFonts w:ascii="宋体" w:hAnsi="宋体" w:cs="宋体"/>
                <w:kern w:val="0"/>
                <w:szCs w:val="21"/>
              </w:rPr>
            </w:pPr>
            <w:r>
              <w:rPr>
                <w:rFonts w:hint="eastAsia" w:ascii="宋体" w:hAnsi="宋体" w:cs="宋体"/>
                <w:kern w:val="0"/>
                <w:szCs w:val="21"/>
              </w:rPr>
              <w:t>未提供方案的，得0分。</w:t>
            </w:r>
          </w:p>
        </w:tc>
      </w:tr>
      <w:tr w14:paraId="34A3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14:paraId="2A0E200D">
            <w:pPr>
              <w:pStyle w:val="15"/>
              <w:spacing w:line="360" w:lineRule="auto"/>
              <w:ind w:firstLine="420"/>
              <w:rPr>
                <w:rFonts w:hAnsi="宋体" w:cs="宋体"/>
                <w:bCs/>
                <w:kern w:val="2"/>
                <w:sz w:val="21"/>
              </w:rPr>
            </w:pPr>
            <w:r>
              <w:rPr>
                <w:rFonts w:hint="eastAsia" w:hAnsi="宋体" w:cs="宋体"/>
                <w:b/>
                <w:bCs/>
                <w:kern w:val="2"/>
                <w:sz w:val="21"/>
              </w:rPr>
              <w:t>总得分=1+2+3+4+5。</w:t>
            </w:r>
          </w:p>
        </w:tc>
      </w:tr>
    </w:tbl>
    <w:p w14:paraId="683AAEFC">
      <w:pPr>
        <w:pStyle w:val="15"/>
        <w:spacing w:line="360" w:lineRule="auto"/>
        <w:ind w:firstLine="420"/>
        <w:rPr>
          <w:rFonts w:hAnsi="宋体"/>
          <w:bCs/>
          <w:sz w:val="21"/>
        </w:rPr>
      </w:pPr>
      <w:r>
        <w:rPr>
          <w:rFonts w:hint="eastAsia" w:hAnsi="宋体"/>
          <w:bCs/>
          <w:sz w:val="21"/>
        </w:rPr>
        <w:t>注：计分方法按四舍五入取至百分位。</w:t>
      </w:r>
    </w:p>
    <w:p w14:paraId="5AF3A4B3">
      <w:pPr>
        <w:rPr>
          <w:rFonts w:hAnsi="宋体"/>
          <w:bCs/>
        </w:rPr>
      </w:pPr>
      <w:r>
        <w:rPr>
          <w:rFonts w:hint="eastAsia" w:hAnsi="宋体"/>
          <w:bCs/>
        </w:rPr>
        <w:br w:type="page"/>
      </w:r>
    </w:p>
    <w:p w14:paraId="4D0060D1">
      <w:pPr>
        <w:pStyle w:val="8"/>
        <w:ind w:left="0"/>
      </w:pPr>
      <w:r>
        <w:rPr>
          <w:rFonts w:hint="eastAsia" w:hAnsi="宋体"/>
          <w:b/>
          <w:sz w:val="28"/>
          <w:szCs w:val="28"/>
        </w:rPr>
        <w:t>标项二适用：</w:t>
      </w:r>
    </w:p>
    <w:tbl>
      <w:tblPr>
        <w:tblStyle w:val="25"/>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20"/>
        <w:gridCol w:w="1260"/>
        <w:gridCol w:w="6345"/>
      </w:tblGrid>
      <w:tr w14:paraId="42C5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2" w:hRule="atLeast"/>
          <w:jc w:val="center"/>
        </w:trPr>
        <w:tc>
          <w:tcPr>
            <w:tcW w:w="1845" w:type="dxa"/>
            <w:gridSpan w:val="2"/>
            <w:vAlign w:val="center"/>
          </w:tcPr>
          <w:p w14:paraId="27066D83">
            <w:pPr>
              <w:adjustRightInd w:val="0"/>
              <w:jc w:val="center"/>
              <w:textAlignment w:val="baseline"/>
              <w:rPr>
                <w:rFonts w:ascii="宋体" w:hAnsi="宋体" w:cs="宋体"/>
                <w:szCs w:val="21"/>
              </w:rPr>
            </w:pPr>
            <w:r>
              <w:rPr>
                <w:rFonts w:hint="eastAsia" w:ascii="宋体" w:hAnsi="宋体" w:cs="宋体"/>
                <w:b/>
                <w:szCs w:val="21"/>
              </w:rPr>
              <w:t>序号</w:t>
            </w:r>
          </w:p>
        </w:tc>
        <w:tc>
          <w:tcPr>
            <w:tcW w:w="1260" w:type="dxa"/>
            <w:vAlign w:val="center"/>
          </w:tcPr>
          <w:p w14:paraId="248D93E5">
            <w:pPr>
              <w:adjustRightInd w:val="0"/>
              <w:jc w:val="center"/>
              <w:textAlignment w:val="baseline"/>
              <w:rPr>
                <w:rFonts w:ascii="宋体" w:hAnsi="宋体" w:cs="宋体"/>
                <w:szCs w:val="21"/>
              </w:rPr>
            </w:pPr>
            <w:r>
              <w:rPr>
                <w:rFonts w:hint="eastAsia" w:ascii="宋体" w:hAnsi="宋体" w:cs="宋体"/>
                <w:b/>
                <w:szCs w:val="21"/>
              </w:rPr>
              <w:t>评审因素</w:t>
            </w:r>
          </w:p>
        </w:tc>
        <w:tc>
          <w:tcPr>
            <w:tcW w:w="6345" w:type="dxa"/>
            <w:vAlign w:val="center"/>
          </w:tcPr>
          <w:p w14:paraId="3F4CE6B9">
            <w:pPr>
              <w:adjustRightInd w:val="0"/>
              <w:jc w:val="center"/>
              <w:textAlignment w:val="baseline"/>
              <w:rPr>
                <w:rFonts w:ascii="宋体" w:hAnsi="宋体" w:cs="宋体"/>
                <w:szCs w:val="21"/>
              </w:rPr>
            </w:pPr>
            <w:r>
              <w:rPr>
                <w:rFonts w:hint="eastAsia" w:ascii="宋体" w:hAnsi="宋体" w:cs="宋体"/>
                <w:b/>
                <w:szCs w:val="21"/>
              </w:rPr>
              <w:t>评分标准</w:t>
            </w:r>
          </w:p>
        </w:tc>
      </w:tr>
      <w:tr w14:paraId="17F94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Align w:val="center"/>
          </w:tcPr>
          <w:p w14:paraId="100FF140">
            <w:pPr>
              <w:adjustRightInd w:val="0"/>
              <w:spacing w:line="360" w:lineRule="auto"/>
              <w:jc w:val="center"/>
              <w:textAlignment w:val="baseline"/>
              <w:rPr>
                <w:rFonts w:ascii="宋体" w:hAnsi="宋体" w:cs="宋体"/>
                <w:b/>
                <w:szCs w:val="21"/>
              </w:rPr>
            </w:pPr>
            <w:r>
              <w:rPr>
                <w:rFonts w:hint="eastAsia" w:ascii="宋体" w:hAnsi="宋体" w:cs="宋体"/>
                <w:b/>
                <w:szCs w:val="21"/>
              </w:rPr>
              <w:t>1</w:t>
            </w:r>
          </w:p>
        </w:tc>
        <w:tc>
          <w:tcPr>
            <w:tcW w:w="1320" w:type="dxa"/>
            <w:vAlign w:val="center"/>
          </w:tcPr>
          <w:p w14:paraId="59704D53">
            <w:pPr>
              <w:adjustRightInd w:val="0"/>
              <w:spacing w:line="360" w:lineRule="auto"/>
              <w:ind w:leftChars="-95" w:right="-155" w:rightChars="-74" w:hanging="199" w:hangingChars="95"/>
              <w:jc w:val="center"/>
              <w:textAlignment w:val="baseline"/>
              <w:rPr>
                <w:rFonts w:ascii="宋体" w:hAnsi="宋体" w:cs="宋体"/>
                <w:bCs/>
                <w:szCs w:val="21"/>
              </w:rPr>
            </w:pPr>
            <w:r>
              <w:rPr>
                <w:rFonts w:hint="eastAsia" w:ascii="宋体" w:hAnsi="宋体" w:cs="宋体"/>
                <w:bCs/>
                <w:szCs w:val="21"/>
              </w:rPr>
              <w:t>价格部分</w:t>
            </w:r>
          </w:p>
          <w:p w14:paraId="6BCBA545">
            <w:pPr>
              <w:adjustRightInd w:val="0"/>
              <w:spacing w:line="360" w:lineRule="auto"/>
              <w:ind w:leftChars="-95" w:right="-155" w:rightChars="-74" w:hanging="199" w:hangingChars="95"/>
              <w:jc w:val="center"/>
              <w:textAlignment w:val="baseline"/>
              <w:rPr>
                <w:rFonts w:ascii="宋体" w:hAnsi="宋体" w:cs="宋体"/>
                <w:bCs/>
                <w:szCs w:val="21"/>
              </w:rPr>
            </w:pPr>
            <w:r>
              <w:rPr>
                <w:rFonts w:hint="eastAsia" w:ascii="宋体" w:hAnsi="宋体" w:cs="宋体"/>
                <w:bCs/>
                <w:szCs w:val="21"/>
              </w:rPr>
              <w:t>（满分</w:t>
            </w:r>
            <w:r>
              <w:rPr>
                <w:rFonts w:hint="eastAsia" w:ascii="宋体" w:hAnsi="宋体" w:cs="宋体"/>
                <w:bCs/>
                <w:szCs w:val="21"/>
                <w:u w:val="single"/>
              </w:rPr>
              <w:t>30</w:t>
            </w:r>
            <w:r>
              <w:rPr>
                <w:rFonts w:hint="eastAsia" w:ascii="宋体" w:hAnsi="宋体" w:cs="宋体"/>
                <w:bCs/>
                <w:szCs w:val="21"/>
              </w:rPr>
              <w:t>分）</w:t>
            </w:r>
          </w:p>
        </w:tc>
        <w:tc>
          <w:tcPr>
            <w:tcW w:w="1260" w:type="dxa"/>
            <w:vAlign w:val="center"/>
          </w:tcPr>
          <w:p w14:paraId="0A9C8EBE">
            <w:pPr>
              <w:adjustRightInd w:val="0"/>
              <w:spacing w:line="360" w:lineRule="auto"/>
              <w:ind w:leftChars="-95" w:right="-155" w:rightChars="-74" w:hanging="199" w:hangingChars="95"/>
              <w:jc w:val="center"/>
              <w:textAlignment w:val="baseline"/>
              <w:rPr>
                <w:rFonts w:ascii="宋体" w:hAnsi="宋体" w:cs="宋体"/>
                <w:bCs/>
                <w:szCs w:val="21"/>
              </w:rPr>
            </w:pPr>
            <w:r>
              <w:rPr>
                <w:rFonts w:hint="eastAsia" w:ascii="宋体" w:hAnsi="宋体" w:cs="宋体"/>
                <w:bCs/>
                <w:szCs w:val="21"/>
              </w:rPr>
              <w:t>价格分</w:t>
            </w:r>
          </w:p>
          <w:p w14:paraId="6BE5F2C4">
            <w:pPr>
              <w:adjustRightInd w:val="0"/>
              <w:spacing w:line="360" w:lineRule="auto"/>
              <w:ind w:leftChars="-95" w:right="-155" w:rightChars="-74" w:hanging="199" w:hangingChars="95"/>
              <w:jc w:val="center"/>
              <w:textAlignment w:val="baseline"/>
              <w:rPr>
                <w:rFonts w:ascii="宋体" w:hAnsi="宋体" w:cs="宋体"/>
                <w:bCs/>
                <w:szCs w:val="21"/>
              </w:rPr>
            </w:pPr>
            <w:r>
              <w:rPr>
                <w:rFonts w:hint="eastAsia" w:ascii="宋体" w:hAnsi="宋体" w:cs="宋体"/>
                <w:bCs/>
                <w:szCs w:val="21"/>
              </w:rPr>
              <w:t>（满分30分）</w:t>
            </w:r>
          </w:p>
        </w:tc>
        <w:tc>
          <w:tcPr>
            <w:tcW w:w="6345" w:type="dxa"/>
            <w:vAlign w:val="center"/>
          </w:tcPr>
          <w:p w14:paraId="6AFB164C">
            <w:pPr>
              <w:spacing w:line="360" w:lineRule="exact"/>
              <w:ind w:firstLine="420" w:firstLineChars="200"/>
              <w:rPr>
                <w:rFonts w:ascii="宋体" w:hAnsi="宋体" w:cs="宋体"/>
                <w:kern w:val="0"/>
                <w:szCs w:val="21"/>
              </w:rPr>
            </w:pPr>
            <w:r>
              <w:rPr>
                <w:rFonts w:hint="eastAsia" w:ascii="宋体" w:hAnsi="宋体" w:cs="宋体"/>
                <w:kern w:val="0"/>
                <w:szCs w:val="21"/>
              </w:rPr>
              <w:t>1.本分标为专门面向中小企业预留项目，价格评审时均不进行价格折扣。</w:t>
            </w:r>
          </w:p>
          <w:p w14:paraId="0B977ACC">
            <w:pPr>
              <w:pStyle w:val="2"/>
              <w:spacing w:line="360" w:lineRule="atLeast"/>
            </w:pPr>
            <w:r>
              <w:rPr>
                <w:rFonts w:hint="eastAsia"/>
              </w:rPr>
              <w:t>2.本国产品政策性扣除计算方法。</w:t>
            </w:r>
          </w:p>
          <w:p w14:paraId="178A111B">
            <w:pPr>
              <w:pStyle w:val="2"/>
              <w:spacing w:line="360" w:lineRule="atLeast"/>
            </w:pPr>
            <w:r>
              <w:rPr>
                <w:rFonts w:hint="eastAsia"/>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10449D9A">
            <w:pPr>
              <w:pStyle w:val="2"/>
              <w:spacing w:line="360" w:lineRule="atLeast"/>
            </w:pPr>
            <w:r>
              <w:rPr>
                <w:rFonts w:hint="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0AFF9494">
            <w:pPr>
              <w:pStyle w:val="2"/>
              <w:spacing w:line="360" w:lineRule="atLeast"/>
            </w:pPr>
            <w:r>
              <w:rPr>
                <w:rFonts w:hint="eastAsia"/>
              </w:rPr>
              <w:t>如果所有参与竞争的供应商均可享受本国产品价格评审优惠，则统一不进行价格扣除。</w:t>
            </w:r>
          </w:p>
          <w:p w14:paraId="08920EE0">
            <w:pPr>
              <w:pStyle w:val="2"/>
              <w:spacing w:line="360" w:lineRule="atLeast"/>
            </w:pPr>
            <w:r>
              <w:rPr>
                <w:rFonts w:hint="eastAsia"/>
              </w:rPr>
              <w:t>供应商在其投标文件中对其提供的产品出具《关于符合本国产品标准的声明函》或财政部会同有关部门规定的有关证明文件的，该产品视为本国产品，给予政策性价格扣除，用扣除后的价格参与评审（未提供上述证明文件或不符合条件的，不享受价格扣除优惠）。</w:t>
            </w:r>
          </w:p>
          <w:p w14:paraId="4D72109B">
            <w:pPr>
              <w:spacing w:line="360" w:lineRule="exact"/>
              <w:ind w:firstLine="420" w:firstLineChars="200"/>
              <w:rPr>
                <w:rFonts w:ascii="宋体" w:hAnsi="宋体" w:cs="宋体"/>
                <w:kern w:val="0"/>
                <w:szCs w:val="21"/>
              </w:rPr>
            </w:pPr>
            <w:r>
              <w:rPr>
                <w:rFonts w:hint="eastAsia" w:ascii="宋体" w:hAnsi="宋体" w:cs="宋体"/>
                <w:kern w:val="0"/>
                <w:szCs w:val="21"/>
              </w:rPr>
              <w:t>3.满足招标文件要求且评标报价最低的评标报价为评标基准价，其价格分为满分。</w:t>
            </w:r>
          </w:p>
          <w:p w14:paraId="61692ACE">
            <w:pPr>
              <w:pStyle w:val="12"/>
              <w:ind w:firstLine="420" w:firstLineChars="200"/>
              <w:rPr>
                <w:rFonts w:ascii="宋体" w:hAnsi="宋体" w:cs="宋体"/>
                <w:sz w:val="21"/>
                <w:szCs w:val="21"/>
              </w:rPr>
            </w:pPr>
            <w:r>
              <w:rPr>
                <w:rFonts w:hint="eastAsia" w:ascii="宋体" w:hAnsi="宋体" w:cs="宋体"/>
                <w:bCs/>
                <w:sz w:val="21"/>
                <w:szCs w:val="21"/>
              </w:rPr>
              <w:t>价格分计算公式：价格分=（评标基准价／评标报价）×30分</w:t>
            </w:r>
          </w:p>
        </w:tc>
      </w:tr>
      <w:tr w14:paraId="3B8BB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restart"/>
            <w:vAlign w:val="center"/>
          </w:tcPr>
          <w:p w14:paraId="63D26F1A">
            <w:pPr>
              <w:adjustRightInd w:val="0"/>
              <w:spacing w:line="360" w:lineRule="auto"/>
              <w:jc w:val="center"/>
              <w:textAlignment w:val="baseline"/>
              <w:rPr>
                <w:rFonts w:ascii="宋体" w:hAnsi="宋体" w:cs="宋体"/>
                <w:b/>
                <w:szCs w:val="21"/>
              </w:rPr>
            </w:pPr>
            <w:r>
              <w:rPr>
                <w:rFonts w:hint="eastAsia" w:ascii="宋体" w:hAnsi="宋体" w:cs="宋体"/>
                <w:b/>
                <w:szCs w:val="21"/>
              </w:rPr>
              <w:t>2</w:t>
            </w:r>
          </w:p>
        </w:tc>
        <w:tc>
          <w:tcPr>
            <w:tcW w:w="1320" w:type="dxa"/>
            <w:vMerge w:val="restart"/>
            <w:vAlign w:val="center"/>
          </w:tcPr>
          <w:p w14:paraId="1BC46171">
            <w:pPr>
              <w:adjustRightInd w:val="0"/>
              <w:spacing w:line="360" w:lineRule="auto"/>
              <w:ind w:left="-105" w:leftChars="-50" w:right="-105" w:rightChars="-50"/>
              <w:jc w:val="center"/>
              <w:textAlignment w:val="baseline"/>
              <w:rPr>
                <w:rFonts w:ascii="宋体" w:hAnsi="宋体" w:cs="宋体"/>
                <w:szCs w:val="21"/>
              </w:rPr>
            </w:pPr>
            <w:r>
              <w:rPr>
                <w:rFonts w:hint="eastAsia" w:ascii="宋体" w:hAnsi="宋体" w:cs="宋体"/>
                <w:szCs w:val="21"/>
              </w:rPr>
              <w:t>技术部分</w:t>
            </w:r>
          </w:p>
          <w:p w14:paraId="64BAD999">
            <w:pPr>
              <w:adjustRightInd w:val="0"/>
              <w:spacing w:line="360" w:lineRule="auto"/>
              <w:ind w:left="-199" w:leftChars="-95" w:right="-105" w:rightChars="-50"/>
              <w:jc w:val="center"/>
              <w:textAlignment w:val="baseline"/>
              <w:rPr>
                <w:rFonts w:ascii="宋体" w:hAnsi="宋体" w:cs="宋体"/>
                <w:spacing w:val="-18"/>
                <w:szCs w:val="21"/>
              </w:rPr>
            </w:pPr>
            <w:r>
              <w:rPr>
                <w:rFonts w:hint="eastAsia" w:ascii="宋体" w:hAnsi="宋体" w:cs="宋体"/>
                <w:szCs w:val="21"/>
              </w:rPr>
              <w:t>（满分</w:t>
            </w:r>
            <w:r>
              <w:rPr>
                <w:rFonts w:hint="eastAsia" w:ascii="宋体" w:hAnsi="宋体" w:cs="宋体"/>
                <w:szCs w:val="21"/>
                <w:u w:val="single"/>
              </w:rPr>
              <w:t xml:space="preserve"> 45 </w:t>
            </w:r>
            <w:r>
              <w:rPr>
                <w:rFonts w:hint="eastAsia" w:ascii="宋体" w:hAnsi="宋体" w:cs="宋体"/>
                <w:szCs w:val="21"/>
              </w:rPr>
              <w:t>分）</w:t>
            </w:r>
          </w:p>
        </w:tc>
        <w:tc>
          <w:tcPr>
            <w:tcW w:w="1260" w:type="dxa"/>
            <w:vAlign w:val="center"/>
          </w:tcPr>
          <w:p w14:paraId="7A81AB5B">
            <w:pPr>
              <w:spacing w:line="360" w:lineRule="exact"/>
              <w:jc w:val="center"/>
              <w:rPr>
                <w:rFonts w:ascii="宋体" w:hAnsi="宋体"/>
                <w:szCs w:val="21"/>
              </w:rPr>
            </w:pPr>
            <w:r>
              <w:rPr>
                <w:rFonts w:hint="eastAsia" w:ascii="宋体" w:hAnsi="宋体"/>
                <w:szCs w:val="21"/>
              </w:rPr>
              <w:t>技术参数分</w:t>
            </w:r>
          </w:p>
          <w:p w14:paraId="09BD8FFE">
            <w:pPr>
              <w:spacing w:line="360" w:lineRule="exact"/>
              <w:jc w:val="center"/>
              <w:rPr>
                <w:rFonts w:ascii="宋体" w:hAnsi="宋体" w:cs="宋体"/>
                <w:szCs w:val="21"/>
                <w:u w:val="single"/>
              </w:rPr>
            </w:pPr>
            <w:r>
              <w:rPr>
                <w:rFonts w:hint="eastAsia" w:ascii="宋体" w:hAnsi="宋体"/>
                <w:szCs w:val="21"/>
              </w:rPr>
              <w:t>（满分30分）</w:t>
            </w:r>
          </w:p>
        </w:tc>
        <w:tc>
          <w:tcPr>
            <w:tcW w:w="6345" w:type="dxa"/>
            <w:vAlign w:val="center"/>
          </w:tcPr>
          <w:p w14:paraId="42C8BC02">
            <w:pPr>
              <w:spacing w:line="360" w:lineRule="exact"/>
              <w:ind w:firstLine="420" w:firstLineChars="200"/>
              <w:jc w:val="left"/>
              <w:rPr>
                <w:rFonts w:ascii="宋体" w:hAnsi="宋体"/>
                <w:bCs/>
                <w:szCs w:val="21"/>
              </w:rPr>
            </w:pPr>
            <w:r>
              <w:rPr>
                <w:rFonts w:hint="eastAsia" w:ascii="宋体" w:hAnsi="宋体"/>
                <w:bCs/>
                <w:szCs w:val="21"/>
              </w:rPr>
              <w:t>评标委员会</w:t>
            </w:r>
            <w:r>
              <w:rPr>
                <w:rFonts w:ascii="宋体" w:hAnsi="宋体"/>
                <w:bCs/>
                <w:szCs w:val="21"/>
              </w:rPr>
              <w:t>对通过资格性和符合性审查进入详评的各</w:t>
            </w:r>
            <w:r>
              <w:rPr>
                <w:rFonts w:hint="eastAsia" w:ascii="宋体" w:hAnsi="宋体"/>
                <w:bCs/>
                <w:szCs w:val="21"/>
              </w:rPr>
              <w:t>投标人投标</w:t>
            </w:r>
            <w:r>
              <w:rPr>
                <w:rFonts w:ascii="宋体" w:hAnsi="宋体"/>
                <w:bCs/>
                <w:szCs w:val="21"/>
              </w:rPr>
              <w:t>文件对</w:t>
            </w:r>
            <w:r>
              <w:rPr>
                <w:rFonts w:hint="eastAsia" w:ascii="宋体" w:hAnsi="宋体"/>
                <w:bCs/>
                <w:szCs w:val="21"/>
              </w:rPr>
              <w:t>招标</w:t>
            </w:r>
            <w:r>
              <w:rPr>
                <w:rFonts w:ascii="宋体" w:hAnsi="宋体"/>
                <w:bCs/>
                <w:szCs w:val="21"/>
              </w:rPr>
              <w:t>文件</w:t>
            </w:r>
            <w:r>
              <w:rPr>
                <w:rFonts w:hint="eastAsia" w:ascii="宋体" w:hAnsi="宋体"/>
                <w:bCs/>
                <w:szCs w:val="21"/>
              </w:rPr>
              <w:t>《采购需求》中“技术参数要求”</w:t>
            </w:r>
            <w:r>
              <w:rPr>
                <w:rFonts w:ascii="宋体" w:hAnsi="宋体"/>
                <w:bCs/>
                <w:szCs w:val="21"/>
              </w:rPr>
              <w:t>的响应情况进行独立评审，并按如下计分方式确定得分</w:t>
            </w:r>
            <w:r>
              <w:rPr>
                <w:rFonts w:hint="eastAsia" w:ascii="宋体" w:hAnsi="宋体"/>
                <w:bCs/>
                <w:szCs w:val="21"/>
              </w:rPr>
              <w:t>：</w:t>
            </w:r>
          </w:p>
          <w:p w14:paraId="4C446912">
            <w:pPr>
              <w:spacing w:line="360" w:lineRule="exact"/>
              <w:ind w:firstLine="420" w:firstLineChars="200"/>
              <w:jc w:val="left"/>
              <w:rPr>
                <w:rFonts w:ascii="宋体" w:hAnsi="宋体"/>
                <w:bCs/>
                <w:szCs w:val="21"/>
              </w:rPr>
            </w:pPr>
            <w:r>
              <w:rPr>
                <w:rFonts w:ascii="宋体" w:hAnsi="宋体"/>
                <w:bCs/>
                <w:szCs w:val="21"/>
              </w:rPr>
              <w:t>1）通过符合性审查，进入详评的，得基本分3</w:t>
            </w:r>
            <w:r>
              <w:rPr>
                <w:rFonts w:hint="eastAsia" w:ascii="宋体" w:hAnsi="宋体"/>
                <w:bCs/>
                <w:szCs w:val="21"/>
              </w:rPr>
              <w:t>0</w:t>
            </w:r>
            <w:r>
              <w:rPr>
                <w:rFonts w:ascii="宋体" w:hAnsi="宋体"/>
                <w:bCs/>
                <w:szCs w:val="21"/>
              </w:rPr>
              <w:t>分。</w:t>
            </w:r>
          </w:p>
          <w:p w14:paraId="412A2129">
            <w:pPr>
              <w:spacing w:line="360" w:lineRule="exact"/>
              <w:ind w:firstLine="420" w:firstLineChars="200"/>
              <w:jc w:val="left"/>
              <w:rPr>
                <w:rFonts w:ascii="宋体" w:hAnsi="宋体"/>
                <w:bCs/>
                <w:szCs w:val="21"/>
              </w:rPr>
            </w:pPr>
            <w:r>
              <w:rPr>
                <w:rFonts w:ascii="宋体" w:hAnsi="宋体"/>
                <w:bCs/>
                <w:szCs w:val="21"/>
              </w:rPr>
              <w:t>2）负偏离扣分：</w:t>
            </w:r>
          </w:p>
          <w:p w14:paraId="60CB9FB7">
            <w:pPr>
              <w:spacing w:line="360" w:lineRule="exact"/>
              <w:ind w:firstLine="420" w:firstLineChars="200"/>
              <w:jc w:val="left"/>
              <w:rPr>
                <w:rFonts w:ascii="宋体" w:hAnsi="宋体"/>
                <w:bCs/>
                <w:szCs w:val="21"/>
              </w:rPr>
            </w:pPr>
            <w:r>
              <w:rPr>
                <w:rFonts w:ascii="宋体" w:hAnsi="宋体"/>
                <w:bCs/>
                <w:szCs w:val="21"/>
              </w:rPr>
              <w:t>①非“★”和非“▲”号技术参数出现负偏离的，每一项扣2分；</w:t>
            </w:r>
          </w:p>
          <w:p w14:paraId="792AB03A">
            <w:pPr>
              <w:spacing w:line="360" w:lineRule="exact"/>
              <w:ind w:firstLine="420" w:firstLineChars="200"/>
              <w:jc w:val="left"/>
              <w:rPr>
                <w:rFonts w:ascii="宋体" w:hAnsi="宋体"/>
                <w:bCs/>
                <w:szCs w:val="21"/>
              </w:rPr>
            </w:pPr>
            <w:r>
              <w:rPr>
                <w:rFonts w:ascii="宋体" w:hAnsi="宋体"/>
                <w:bCs/>
                <w:szCs w:val="21"/>
              </w:rPr>
              <w:t>②带“▲”号的参数为重要技术指标及要求，不满足要求的每项扣4分；</w:t>
            </w:r>
          </w:p>
          <w:p w14:paraId="0DDC3AD6">
            <w:pPr>
              <w:spacing w:line="360" w:lineRule="exact"/>
              <w:ind w:firstLine="420" w:firstLineChars="200"/>
              <w:jc w:val="left"/>
              <w:rPr>
                <w:rFonts w:ascii="宋体" w:hAnsi="宋体" w:cs="宋体"/>
                <w:kern w:val="0"/>
                <w:szCs w:val="21"/>
              </w:rPr>
            </w:pPr>
            <w:r>
              <w:rPr>
                <w:rFonts w:ascii="宋体" w:hAnsi="宋体"/>
                <w:bCs/>
                <w:szCs w:val="21"/>
              </w:rPr>
              <w:t>③以上两项累计扣至基本分0分为止。</w:t>
            </w:r>
          </w:p>
        </w:tc>
      </w:tr>
      <w:tr w14:paraId="365A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03766E5F">
            <w:pPr>
              <w:adjustRightInd w:val="0"/>
              <w:spacing w:line="360" w:lineRule="auto"/>
              <w:jc w:val="center"/>
              <w:textAlignment w:val="baseline"/>
              <w:rPr>
                <w:rFonts w:ascii="宋体" w:hAnsi="宋体" w:cs="宋体"/>
                <w:b/>
                <w:szCs w:val="21"/>
              </w:rPr>
            </w:pPr>
          </w:p>
        </w:tc>
        <w:tc>
          <w:tcPr>
            <w:tcW w:w="1320" w:type="dxa"/>
            <w:vMerge w:val="continue"/>
            <w:vAlign w:val="center"/>
          </w:tcPr>
          <w:p w14:paraId="32753DA1">
            <w:pPr>
              <w:adjustRightInd w:val="0"/>
              <w:spacing w:line="360" w:lineRule="auto"/>
              <w:ind w:left="-199" w:leftChars="-95" w:right="-105" w:rightChars="-50"/>
              <w:jc w:val="center"/>
              <w:textAlignment w:val="baseline"/>
              <w:rPr>
                <w:rFonts w:ascii="宋体" w:hAnsi="宋体" w:cs="宋体"/>
                <w:szCs w:val="21"/>
              </w:rPr>
            </w:pPr>
          </w:p>
        </w:tc>
        <w:tc>
          <w:tcPr>
            <w:tcW w:w="1260" w:type="dxa"/>
            <w:vAlign w:val="center"/>
          </w:tcPr>
          <w:p w14:paraId="29CBB2D1">
            <w:pPr>
              <w:keepNext/>
              <w:widowControl/>
              <w:spacing w:line="360" w:lineRule="exact"/>
              <w:jc w:val="center"/>
              <w:rPr>
                <w:rFonts w:ascii="宋体" w:hAnsi="宋体" w:cs="宋体"/>
                <w:kern w:val="0"/>
                <w:szCs w:val="21"/>
              </w:rPr>
            </w:pPr>
            <w:r>
              <w:rPr>
                <w:rFonts w:hint="eastAsia" w:ascii="宋体" w:hAnsi="宋体" w:cs="宋体"/>
                <w:kern w:val="0"/>
                <w:szCs w:val="21"/>
              </w:rPr>
              <w:t>项目实施方案分</w:t>
            </w:r>
          </w:p>
          <w:p w14:paraId="4D7D0ABD">
            <w:pPr>
              <w:keepNext/>
              <w:widowControl/>
              <w:spacing w:line="360" w:lineRule="exact"/>
              <w:jc w:val="center"/>
              <w:rPr>
                <w:rFonts w:ascii="宋体" w:hAnsi="宋体"/>
                <w:szCs w:val="21"/>
              </w:rPr>
            </w:pPr>
            <w:r>
              <w:rPr>
                <w:rFonts w:hint="eastAsia" w:ascii="宋体" w:hAnsi="宋体" w:cs="宋体"/>
                <w:kern w:val="0"/>
                <w:szCs w:val="21"/>
              </w:rPr>
              <w:t>（满分15分）</w:t>
            </w:r>
          </w:p>
        </w:tc>
        <w:tc>
          <w:tcPr>
            <w:tcW w:w="6345" w:type="dxa"/>
            <w:vAlign w:val="center"/>
          </w:tcPr>
          <w:p w14:paraId="1DCF324C">
            <w:pPr>
              <w:spacing w:line="360" w:lineRule="exact"/>
              <w:ind w:firstLine="420" w:firstLineChars="200"/>
              <w:jc w:val="left"/>
              <w:rPr>
                <w:rFonts w:ascii="宋体" w:hAnsi="宋体" w:cs="Courier New"/>
                <w:szCs w:val="21"/>
              </w:rPr>
            </w:pPr>
            <w:r>
              <w:rPr>
                <w:rFonts w:hint="eastAsia" w:ascii="宋体" w:hAnsi="宋体" w:cs="Courier New"/>
                <w:szCs w:val="21"/>
              </w:rPr>
              <w:t>由评标委员会根据各投标人投标文件中项目实施方案中的“项目前期准备、项目实施计划、实施人员安排、供货安装调试方案、质量保障措施、项目安全管理措施等内容进行综合评审并独立打分：（未提供相应评审内容或未达到一档要求的，不得分）</w:t>
            </w:r>
          </w:p>
          <w:p w14:paraId="550F699A">
            <w:pPr>
              <w:spacing w:line="360" w:lineRule="exact"/>
              <w:ind w:firstLine="420" w:firstLineChars="200"/>
              <w:jc w:val="left"/>
              <w:rPr>
                <w:rFonts w:ascii="宋体" w:hAnsi="宋体" w:cs="Courier New"/>
                <w:szCs w:val="21"/>
              </w:rPr>
            </w:pPr>
            <w:r>
              <w:rPr>
                <w:rFonts w:hint="eastAsia" w:ascii="宋体" w:hAnsi="宋体" w:cs="Courier New"/>
                <w:szCs w:val="21"/>
              </w:rPr>
              <w:t>一档（5分）：项目实施方案中，有项目前期准备、项目实施计划、实施人员安排、供货安装调试方案、质量保障措施、项目安全管理措施等内容简单描述，且基本满足本项目的实施需求的；</w:t>
            </w:r>
          </w:p>
          <w:p w14:paraId="42F75583">
            <w:pPr>
              <w:spacing w:line="360" w:lineRule="exact"/>
              <w:ind w:firstLine="420" w:firstLineChars="200"/>
              <w:jc w:val="left"/>
              <w:rPr>
                <w:rFonts w:ascii="宋体" w:hAnsi="宋体" w:cs="Courier New"/>
                <w:szCs w:val="21"/>
              </w:rPr>
            </w:pPr>
            <w:r>
              <w:rPr>
                <w:rFonts w:hint="eastAsia" w:ascii="宋体" w:hAnsi="宋体" w:cs="Courier New"/>
                <w:szCs w:val="21"/>
              </w:rPr>
              <w:t>二档（10分）：项目实施方案中，有较详细的项目前期准备方案，有具体的项目实施计划、进度安排，实施人员安排及岗位明确，供货计划紧凑合理，安装调试方案有具体安装方法、安装流程及保障措施，有较详细的质量保障措施、项目安全管理措施，且实施方案满足本项目的实施需求的；</w:t>
            </w:r>
          </w:p>
          <w:p w14:paraId="543D01E1">
            <w:pPr>
              <w:spacing w:line="360" w:lineRule="exact"/>
              <w:ind w:firstLine="420" w:firstLineChars="200"/>
              <w:jc w:val="left"/>
              <w:rPr>
                <w:rFonts w:ascii="宋体" w:hAnsi="宋体"/>
                <w:bCs/>
                <w:szCs w:val="21"/>
              </w:rPr>
            </w:pPr>
            <w:r>
              <w:rPr>
                <w:rFonts w:hint="eastAsia" w:ascii="宋体" w:hAnsi="宋体" w:cs="Courier New"/>
                <w:szCs w:val="21"/>
              </w:rPr>
              <w:t>三档（15分）：项目实施方案中，</w:t>
            </w:r>
            <w:r>
              <w:rPr>
                <w:rFonts w:hint="eastAsia" w:ascii="宋体" w:hAnsi="宋体" w:cs="宋体"/>
                <w:spacing w:val="6"/>
                <w:szCs w:val="21"/>
              </w:rPr>
              <w:t>提供的项目实施方案内容切合实际，</w:t>
            </w:r>
            <w:r>
              <w:rPr>
                <w:rFonts w:hint="eastAsia" w:ascii="宋体" w:hAnsi="宋体" w:cs="Courier New"/>
                <w:szCs w:val="21"/>
              </w:rPr>
              <w:t>有详细的项目前期准备方案，有具体的项目实施进度计划、进度安排及进度保障措施等，有项目组织机构、实施人员安排、岗位明确，供货计划详细、紧凑、合理，安装调试方案有具体详细的安装方法、安装流程及保障措施，有详细的质量保障措施、项目安全管理措施，且实施方案整体具有完整性、可行性、针对性，同时满足本项目的实施需求的，</w:t>
            </w:r>
            <w:r>
              <w:rPr>
                <w:rFonts w:hint="eastAsia" w:ascii="宋体" w:hAnsi="宋体" w:cs="宋体"/>
                <w:spacing w:val="9"/>
                <w:szCs w:val="21"/>
              </w:rPr>
              <w:t>能提供交付时间保证措施、能承诺提前将货物送到采购人指定地点并安装调试至正常使用、安全实施工作措施、技术服务等内容；能提供有建设及指导性的安装、调试、验收方法等内容。</w:t>
            </w:r>
          </w:p>
        </w:tc>
      </w:tr>
      <w:tr w14:paraId="077B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restart"/>
            <w:vAlign w:val="center"/>
          </w:tcPr>
          <w:p w14:paraId="6AA5A515">
            <w:pPr>
              <w:adjustRightInd w:val="0"/>
              <w:spacing w:line="360" w:lineRule="auto"/>
              <w:jc w:val="center"/>
              <w:textAlignment w:val="baseline"/>
              <w:rPr>
                <w:rFonts w:ascii="宋体" w:hAnsi="宋体" w:cs="宋体"/>
                <w:b/>
                <w:szCs w:val="21"/>
              </w:rPr>
            </w:pPr>
            <w:r>
              <w:rPr>
                <w:rFonts w:hint="eastAsia" w:ascii="宋体" w:hAnsi="宋体" w:cs="宋体"/>
                <w:b/>
                <w:szCs w:val="21"/>
              </w:rPr>
              <w:t>3</w:t>
            </w:r>
          </w:p>
        </w:tc>
        <w:tc>
          <w:tcPr>
            <w:tcW w:w="1320" w:type="dxa"/>
            <w:vMerge w:val="restart"/>
            <w:vAlign w:val="center"/>
          </w:tcPr>
          <w:p w14:paraId="42DF7176">
            <w:pPr>
              <w:adjustRightInd w:val="0"/>
              <w:spacing w:line="360" w:lineRule="auto"/>
              <w:ind w:left="-105" w:leftChars="-50" w:right="-105" w:rightChars="-50"/>
              <w:jc w:val="center"/>
              <w:textAlignment w:val="baseline"/>
              <w:rPr>
                <w:rFonts w:ascii="宋体" w:hAnsi="宋体" w:cs="宋体"/>
                <w:szCs w:val="21"/>
              </w:rPr>
            </w:pPr>
            <w:r>
              <w:rPr>
                <w:rFonts w:hint="eastAsia" w:ascii="宋体" w:hAnsi="宋体" w:cs="宋体"/>
                <w:szCs w:val="21"/>
              </w:rPr>
              <w:t>商务部分</w:t>
            </w:r>
          </w:p>
          <w:p w14:paraId="58285A0C">
            <w:pPr>
              <w:adjustRightInd w:val="0"/>
              <w:spacing w:line="360" w:lineRule="auto"/>
              <w:ind w:left="-199" w:leftChars="-95" w:right="-105" w:rightChars="-50"/>
              <w:jc w:val="center"/>
              <w:textAlignment w:val="baseline"/>
              <w:rPr>
                <w:rFonts w:ascii="宋体" w:hAnsi="宋体" w:cs="宋体"/>
                <w:szCs w:val="21"/>
              </w:rPr>
            </w:pPr>
            <w:r>
              <w:rPr>
                <w:rFonts w:hint="eastAsia" w:ascii="宋体" w:hAnsi="宋体" w:cs="宋体"/>
                <w:szCs w:val="21"/>
              </w:rPr>
              <w:t>（满分</w:t>
            </w:r>
            <w:r>
              <w:rPr>
                <w:rFonts w:hint="eastAsia" w:ascii="宋体" w:hAnsi="宋体" w:cs="宋体"/>
                <w:szCs w:val="21"/>
                <w:u w:val="single"/>
              </w:rPr>
              <w:t xml:space="preserve"> 25 </w:t>
            </w:r>
            <w:r>
              <w:rPr>
                <w:rFonts w:hint="eastAsia" w:ascii="宋体" w:hAnsi="宋体" w:cs="宋体"/>
                <w:szCs w:val="21"/>
              </w:rPr>
              <w:t>分）</w:t>
            </w:r>
          </w:p>
        </w:tc>
        <w:tc>
          <w:tcPr>
            <w:tcW w:w="1260" w:type="dxa"/>
            <w:vAlign w:val="center"/>
          </w:tcPr>
          <w:p w14:paraId="3660AE0C">
            <w:pPr>
              <w:spacing w:line="360" w:lineRule="exact"/>
              <w:jc w:val="center"/>
              <w:rPr>
                <w:rFonts w:ascii="宋体" w:hAnsi="宋体" w:cs="微软雅黑"/>
                <w:szCs w:val="21"/>
              </w:rPr>
            </w:pPr>
            <w:r>
              <w:rPr>
                <w:rFonts w:hint="eastAsia" w:ascii="宋体" w:hAnsi="宋体" w:cs="微软雅黑"/>
                <w:szCs w:val="21"/>
              </w:rPr>
              <w:t>业绩分</w:t>
            </w:r>
          </w:p>
          <w:p w14:paraId="6882D05F">
            <w:pPr>
              <w:spacing w:line="360" w:lineRule="exact"/>
              <w:jc w:val="center"/>
              <w:rPr>
                <w:rFonts w:ascii="宋体" w:hAnsi="宋体" w:cs="宋体"/>
                <w:kern w:val="0"/>
                <w:szCs w:val="21"/>
              </w:rPr>
            </w:pPr>
            <w:r>
              <w:rPr>
                <w:rFonts w:hint="eastAsia" w:ascii="宋体" w:hAnsi="宋体" w:cs="宋体"/>
                <w:szCs w:val="21"/>
              </w:rPr>
              <w:t>（满分8分）</w:t>
            </w:r>
          </w:p>
        </w:tc>
        <w:tc>
          <w:tcPr>
            <w:tcW w:w="6345" w:type="dxa"/>
          </w:tcPr>
          <w:p w14:paraId="69CC8976">
            <w:pPr>
              <w:pStyle w:val="12"/>
              <w:spacing w:line="360" w:lineRule="exact"/>
              <w:jc w:val="left"/>
              <w:rPr>
                <w:rFonts w:ascii="宋体" w:hAnsi="宋体" w:cs="Courier New"/>
                <w:sz w:val="21"/>
                <w:szCs w:val="21"/>
              </w:rPr>
            </w:pPr>
            <w:r>
              <w:rPr>
                <w:rFonts w:hint="eastAsia" w:ascii="宋体" w:hAnsi="宋体"/>
                <w:sz w:val="21"/>
                <w:szCs w:val="21"/>
              </w:rPr>
              <w:t>投标人自2023年1月1日至投标截止时间止，具有其中一种同类产品的项目业绩【以提供中标（成交）通知书或合同复印件或扫描件加盖投标人电子签章为准，并能清晰反映所货物名称（标的名称或产品名称）品牌、型号、合同签订时间，否则将不予计分；同一个编号的项目有两个或两个以上的分标中标的只算一次】的，每提供一个业绩得2分。满分8分。</w:t>
            </w:r>
          </w:p>
        </w:tc>
      </w:tr>
      <w:tr w14:paraId="015E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6240896E">
            <w:pPr>
              <w:adjustRightInd w:val="0"/>
              <w:spacing w:line="360" w:lineRule="auto"/>
              <w:jc w:val="center"/>
              <w:textAlignment w:val="baseline"/>
              <w:rPr>
                <w:rFonts w:ascii="宋体" w:hAnsi="宋体" w:cs="宋体"/>
                <w:b/>
                <w:szCs w:val="21"/>
              </w:rPr>
            </w:pPr>
          </w:p>
        </w:tc>
        <w:tc>
          <w:tcPr>
            <w:tcW w:w="1320" w:type="dxa"/>
            <w:vMerge w:val="continue"/>
            <w:vAlign w:val="center"/>
          </w:tcPr>
          <w:p w14:paraId="16E0E198">
            <w:pPr>
              <w:adjustRightInd w:val="0"/>
              <w:spacing w:line="360" w:lineRule="auto"/>
              <w:ind w:left="-199" w:leftChars="-95" w:right="-105" w:rightChars="-50"/>
              <w:jc w:val="center"/>
              <w:textAlignment w:val="baseline"/>
              <w:rPr>
                <w:rFonts w:ascii="宋体" w:hAnsi="宋体" w:cs="宋体"/>
                <w:szCs w:val="21"/>
              </w:rPr>
            </w:pPr>
          </w:p>
        </w:tc>
        <w:tc>
          <w:tcPr>
            <w:tcW w:w="1260" w:type="dxa"/>
            <w:vAlign w:val="center"/>
          </w:tcPr>
          <w:p w14:paraId="080A973D">
            <w:pPr>
              <w:pStyle w:val="33"/>
              <w:spacing w:before="65" w:line="227" w:lineRule="auto"/>
              <w:ind w:left="61"/>
              <w:jc w:val="center"/>
              <w:rPr>
                <w:spacing w:val="-1"/>
                <w:sz w:val="21"/>
                <w:szCs w:val="21"/>
              </w:rPr>
            </w:pPr>
            <w:r>
              <w:rPr>
                <w:rFonts w:hint="eastAsia"/>
                <w:spacing w:val="-1"/>
                <w:sz w:val="21"/>
                <w:szCs w:val="21"/>
              </w:rPr>
              <w:t>信誉分</w:t>
            </w:r>
          </w:p>
          <w:p w14:paraId="0AFC3EE2">
            <w:pPr>
              <w:pStyle w:val="33"/>
              <w:spacing w:before="65" w:line="227" w:lineRule="auto"/>
              <w:ind w:left="61"/>
              <w:rPr>
                <w:kern w:val="0"/>
                <w:sz w:val="21"/>
                <w:szCs w:val="21"/>
              </w:rPr>
            </w:pPr>
            <w:r>
              <w:rPr>
                <w:rFonts w:hint="eastAsia"/>
                <w:spacing w:val="-1"/>
                <w:sz w:val="21"/>
                <w:szCs w:val="21"/>
              </w:rPr>
              <w:t>（满分</w:t>
            </w:r>
            <w:r>
              <w:rPr>
                <w:rFonts w:hint="eastAsia"/>
                <w:spacing w:val="-38"/>
                <w:sz w:val="21"/>
                <w:szCs w:val="21"/>
              </w:rPr>
              <w:t xml:space="preserve">6 </w:t>
            </w:r>
            <w:r>
              <w:rPr>
                <w:rFonts w:hint="eastAsia"/>
                <w:spacing w:val="-2"/>
                <w:sz w:val="21"/>
                <w:szCs w:val="21"/>
              </w:rPr>
              <w:t>分）</w:t>
            </w:r>
          </w:p>
        </w:tc>
        <w:tc>
          <w:tcPr>
            <w:tcW w:w="6345" w:type="dxa"/>
          </w:tcPr>
          <w:p w14:paraId="7F3FBB22">
            <w:pPr>
              <w:pStyle w:val="12"/>
              <w:keepNext/>
              <w:spacing w:line="360" w:lineRule="exact"/>
              <w:jc w:val="left"/>
              <w:rPr>
                <w:rFonts w:ascii="宋体" w:hAnsi="宋体" w:cs="Courier New"/>
                <w:sz w:val="21"/>
                <w:szCs w:val="21"/>
              </w:rPr>
            </w:pPr>
            <w:r>
              <w:rPr>
                <w:rFonts w:hint="eastAsia" w:ascii="宋体" w:hAnsi="宋体" w:cs="宋体"/>
                <w:sz w:val="21"/>
                <w:szCs w:val="21"/>
              </w:rPr>
              <w:t>投标人具有有效期内的ISO9001质量管理体系认证证书、ISO14001环境管理体系认证证书、ISO45001职业健康安全管理体系认证证书；每项证书得2分，满分6分。提供有效的认证证书扫描件及通过全国认证认可信息公共服务平台（</w:t>
            </w:r>
            <w:r>
              <w:fldChar w:fldCharType="begin"/>
            </w:r>
            <w:r>
              <w:instrText xml:space="preserve"> HYPERLINK "http://cx.cnca.cn" </w:instrText>
            </w:r>
            <w:r>
              <w:fldChar w:fldCharType="separate"/>
            </w:r>
            <w:r>
              <w:rPr>
                <w:rFonts w:hint="eastAsia" w:ascii="宋体" w:hAnsi="宋体" w:cs="宋体"/>
                <w:sz w:val="21"/>
                <w:szCs w:val="21"/>
              </w:rPr>
              <w:t>http://cx.cnca.cn</w:t>
            </w:r>
            <w:r>
              <w:rPr>
                <w:rFonts w:hint="eastAsia" w:ascii="宋体" w:hAnsi="宋体" w:cs="宋体"/>
                <w:sz w:val="21"/>
                <w:szCs w:val="21"/>
              </w:rPr>
              <w:fldChar w:fldCharType="end"/>
            </w:r>
            <w:r>
              <w:rPr>
                <w:rFonts w:hint="eastAsia" w:ascii="宋体" w:hAnsi="宋体" w:cs="宋体"/>
                <w:spacing w:val="7"/>
                <w:sz w:val="21"/>
                <w:szCs w:val="21"/>
              </w:rPr>
              <w:t>）查询结果截图并加盖投标人电子签章，</w:t>
            </w:r>
            <w:r>
              <w:rPr>
                <w:rFonts w:hint="eastAsia" w:ascii="宋体" w:hAnsi="宋体" w:cs="宋体"/>
                <w:spacing w:val="4"/>
                <w:sz w:val="21"/>
                <w:szCs w:val="21"/>
              </w:rPr>
              <w:t>否则不得分。</w:t>
            </w:r>
          </w:p>
        </w:tc>
      </w:tr>
      <w:tr w14:paraId="47A2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01939ABF">
            <w:pPr>
              <w:adjustRightInd w:val="0"/>
              <w:spacing w:line="360" w:lineRule="auto"/>
              <w:jc w:val="center"/>
              <w:textAlignment w:val="baseline"/>
              <w:rPr>
                <w:rFonts w:ascii="宋体" w:hAnsi="宋体" w:cs="宋体"/>
                <w:b/>
                <w:szCs w:val="21"/>
              </w:rPr>
            </w:pPr>
          </w:p>
        </w:tc>
        <w:tc>
          <w:tcPr>
            <w:tcW w:w="1320" w:type="dxa"/>
            <w:vMerge w:val="continue"/>
            <w:vAlign w:val="center"/>
          </w:tcPr>
          <w:p w14:paraId="39DA075A">
            <w:pPr>
              <w:adjustRightInd w:val="0"/>
              <w:spacing w:line="360" w:lineRule="auto"/>
              <w:ind w:left="-199" w:leftChars="-95" w:right="-105" w:rightChars="-50"/>
              <w:jc w:val="center"/>
              <w:textAlignment w:val="baseline"/>
              <w:rPr>
                <w:rFonts w:ascii="宋体" w:hAnsi="宋体" w:cs="宋体"/>
                <w:szCs w:val="21"/>
              </w:rPr>
            </w:pPr>
          </w:p>
        </w:tc>
        <w:tc>
          <w:tcPr>
            <w:tcW w:w="1260" w:type="dxa"/>
            <w:vAlign w:val="center"/>
          </w:tcPr>
          <w:p w14:paraId="79D5F53F">
            <w:pPr>
              <w:spacing w:line="360" w:lineRule="exact"/>
              <w:jc w:val="center"/>
              <w:rPr>
                <w:rFonts w:ascii="宋体" w:hAnsi="宋体" w:cs="宋体"/>
                <w:spacing w:val="-38"/>
                <w:szCs w:val="21"/>
              </w:rPr>
            </w:pPr>
            <w:r>
              <w:rPr>
                <w:rFonts w:hint="eastAsia" w:ascii="宋体" w:hAnsi="宋体"/>
                <w:szCs w:val="21"/>
              </w:rPr>
              <w:t>售后服务分（满分11分）</w:t>
            </w:r>
          </w:p>
        </w:tc>
        <w:tc>
          <w:tcPr>
            <w:tcW w:w="6345" w:type="dxa"/>
          </w:tcPr>
          <w:p w14:paraId="1FE8CD42">
            <w:pPr>
              <w:keepLines/>
              <w:tabs>
                <w:tab w:val="left" w:pos="2472"/>
              </w:tabs>
              <w:spacing w:line="360" w:lineRule="exact"/>
              <w:ind w:firstLine="420" w:firstLineChars="200"/>
              <w:jc w:val="left"/>
              <w:rPr>
                <w:rFonts w:ascii="宋体" w:hAnsi="宋体" w:cs="宋体"/>
                <w:szCs w:val="21"/>
              </w:rPr>
            </w:pPr>
            <w:r>
              <w:rPr>
                <w:rFonts w:hint="eastAsia" w:ascii="宋体" w:hAnsi="宋体" w:cs="宋体"/>
                <w:szCs w:val="21"/>
              </w:rPr>
              <w:t>售后服务承诺方案分</w:t>
            </w:r>
          </w:p>
          <w:p w14:paraId="411715D9">
            <w:pPr>
              <w:tabs>
                <w:tab w:val="left" w:pos="2472"/>
              </w:tabs>
              <w:spacing w:line="360" w:lineRule="exact"/>
              <w:ind w:firstLine="420" w:firstLineChars="200"/>
              <w:jc w:val="left"/>
              <w:rPr>
                <w:rFonts w:ascii="宋体" w:hAnsi="宋体" w:cs="宋体"/>
                <w:szCs w:val="21"/>
              </w:rPr>
            </w:pPr>
            <w:r>
              <w:rPr>
                <w:rFonts w:hint="eastAsia" w:ascii="宋体" w:hAnsi="宋体" w:cs="宋体"/>
                <w:szCs w:val="21"/>
              </w:rPr>
              <w:t>评标委员会根据各投标人提供的售后服务方案【包含但不限于：服务内容、到达故障现场时间、售后人员配备情况、故障出现解决方案、定期维护 (注明时间)方案、免费保修期外维修方案、备品备件</w:t>
            </w:r>
            <w:r>
              <w:rPr>
                <w:rFonts w:hint="eastAsia" w:ascii="宋体" w:hAnsi="宋体" w:cs="宋体"/>
                <w:bCs/>
                <w:szCs w:val="21"/>
              </w:rPr>
              <w:t>仓</w:t>
            </w:r>
            <w:r>
              <w:rPr>
                <w:rFonts w:hint="eastAsia" w:ascii="宋体" w:hAnsi="宋体" w:cs="宋体"/>
                <w:szCs w:val="21"/>
              </w:rPr>
              <w:t>库、其他优惠措施等】内容进行综合评审并独立打分：（未提供相应评审内容或未达到一档要求的，不得分）</w:t>
            </w:r>
          </w:p>
          <w:p w14:paraId="2DADFA81">
            <w:pPr>
              <w:tabs>
                <w:tab w:val="left" w:pos="2472"/>
              </w:tabs>
              <w:spacing w:line="360" w:lineRule="exact"/>
              <w:ind w:firstLine="420" w:firstLineChars="200"/>
              <w:jc w:val="left"/>
              <w:rPr>
                <w:rFonts w:ascii="宋体" w:hAnsi="宋体" w:cs="宋体"/>
                <w:bCs/>
                <w:szCs w:val="21"/>
              </w:rPr>
            </w:pPr>
            <w:r>
              <w:rPr>
                <w:rFonts w:hint="eastAsia" w:ascii="宋体" w:hAnsi="宋体" w:cs="宋体"/>
                <w:bCs/>
                <w:szCs w:val="21"/>
              </w:rPr>
              <w:t>一档（3分）：有简单的售后服务内容和方案，提出了符合要求的处理问题和响应时间，有</w:t>
            </w:r>
            <w:r>
              <w:rPr>
                <w:rFonts w:hint="eastAsia" w:ascii="宋体" w:hAnsi="宋体" w:cs="宋体"/>
                <w:szCs w:val="21"/>
              </w:rPr>
              <w:t>售后人员配备情况表，有简单的故障出现解决方案、定期维护 (注明时间)方案、免费保修期外维修方案，且</w:t>
            </w:r>
            <w:r>
              <w:rPr>
                <w:rFonts w:hint="eastAsia" w:ascii="宋体" w:hAnsi="宋体" w:cs="宋体"/>
                <w:bCs/>
                <w:szCs w:val="21"/>
              </w:rPr>
              <w:t>售后服务方案基本满足本项目需求的；</w:t>
            </w:r>
          </w:p>
          <w:p w14:paraId="066FE415">
            <w:pPr>
              <w:tabs>
                <w:tab w:val="left" w:pos="2472"/>
              </w:tabs>
              <w:spacing w:line="360" w:lineRule="exact"/>
              <w:ind w:firstLine="420" w:firstLineChars="200"/>
              <w:jc w:val="left"/>
              <w:rPr>
                <w:rFonts w:ascii="宋体" w:hAnsi="宋体" w:cs="宋体"/>
                <w:bCs/>
                <w:szCs w:val="21"/>
              </w:rPr>
            </w:pPr>
            <w:r>
              <w:rPr>
                <w:rFonts w:hint="eastAsia" w:ascii="宋体" w:hAnsi="宋体" w:cs="宋体"/>
                <w:bCs/>
                <w:szCs w:val="21"/>
              </w:rPr>
              <w:t>二档（7分）：有较详细、完善的售后服务内容和方案，提出了具体的服务措施，出现故障响应时间、到达故障现场时间、解决故障处理时间优于招标文件要求，故障出现解决方案、定期维护(注明时间)方案、免费保修期外维修方案较详细、具有可行性、合理性，且有投入本项目的售后服务人员及备品备件仓库的；</w:t>
            </w:r>
          </w:p>
          <w:p w14:paraId="0D8DBC78">
            <w:pPr>
              <w:tabs>
                <w:tab w:val="left" w:pos="2472"/>
              </w:tabs>
              <w:spacing w:line="360" w:lineRule="exact"/>
              <w:ind w:firstLine="420" w:firstLineChars="200"/>
              <w:jc w:val="left"/>
              <w:rPr>
                <w:rFonts w:ascii="宋体" w:hAnsi="宋体" w:cs="宋体"/>
                <w:bCs/>
                <w:szCs w:val="21"/>
              </w:rPr>
            </w:pPr>
            <w:r>
              <w:rPr>
                <w:rFonts w:hint="eastAsia" w:ascii="宋体" w:hAnsi="宋体" w:cs="宋体"/>
                <w:bCs/>
                <w:szCs w:val="21"/>
              </w:rPr>
              <w:t>三档（11分）：有详细、完善的售后服务内容和方案，且满足招标文件要求的同时，提出了具体的服务内容及措施，出现故障响应时间在30分钟内、到达故障现场时间在2小时内、解决故障处理时间在8小时内（需提供投标人</w:t>
            </w:r>
            <w:r>
              <w:rPr>
                <w:rFonts w:ascii="宋体" w:hAnsi="宋体" w:cs="Courier New"/>
                <w:szCs w:val="21"/>
              </w:rPr>
              <w:t>或</w:t>
            </w:r>
            <w:r>
              <w:rPr>
                <w:rFonts w:hint="eastAsia" w:ascii="宋体" w:hAnsi="宋体" w:cs="Courier New"/>
                <w:szCs w:val="21"/>
              </w:rPr>
              <w:t>其</w:t>
            </w:r>
            <w:r>
              <w:rPr>
                <w:rFonts w:ascii="宋体" w:hAnsi="宋体" w:cs="Courier New"/>
                <w:szCs w:val="21"/>
              </w:rPr>
              <w:t>分公司或</w:t>
            </w:r>
            <w:r>
              <w:rPr>
                <w:rFonts w:hint="eastAsia" w:ascii="宋体" w:hAnsi="宋体" w:cs="Courier New"/>
                <w:szCs w:val="21"/>
              </w:rPr>
              <w:t>售后服务点或制造商售后服务点到采购单位项目实施地的百度或高德等路线截图</w:t>
            </w:r>
            <w:r>
              <w:rPr>
                <w:rFonts w:hint="eastAsia" w:ascii="宋体" w:hAnsi="宋体" w:cs="宋体"/>
                <w:bCs/>
                <w:szCs w:val="21"/>
              </w:rPr>
              <w:t>），故障出现解决方案、培训方案、定期维护方案、免费保修期外维修方案详细描述、具有完整性、针对性和可行性，</w:t>
            </w:r>
            <w:r>
              <w:rPr>
                <w:rFonts w:hint="eastAsia" w:ascii="宋体" w:hAnsi="宋体" w:cs="Courier New"/>
                <w:szCs w:val="21"/>
              </w:rPr>
              <w:t>投标人或制造商</w:t>
            </w:r>
            <w:r>
              <w:rPr>
                <w:rFonts w:hint="eastAsia" w:ascii="宋体" w:hAnsi="宋体" w:cs="宋体"/>
                <w:bCs/>
                <w:szCs w:val="21"/>
              </w:rPr>
              <w:t>有投入本项目的售后服务人员及备品备件他仓库的【需提供有效售后服务人员及零配件仓库等证明材料复印件，人员证明为社保证明有效证明材料，零配件仓库证明材料包括但不限于租赁合同复印件或产权证明文件或营业执照复印件】，其它有利于提高本项目产品或服务质量优惠措施的。</w:t>
            </w:r>
          </w:p>
          <w:p w14:paraId="34B9ABA3">
            <w:pPr>
              <w:pStyle w:val="12"/>
              <w:keepNext/>
              <w:spacing w:line="360" w:lineRule="exact"/>
              <w:jc w:val="left"/>
              <w:rPr>
                <w:rFonts w:ascii="宋体" w:hAnsi="宋体" w:cs="宋体"/>
                <w:sz w:val="21"/>
                <w:szCs w:val="21"/>
              </w:rPr>
            </w:pPr>
            <w:r>
              <w:rPr>
                <w:rFonts w:hint="eastAsia" w:ascii="宋体" w:hAnsi="宋体" w:cs="宋体"/>
                <w:b/>
                <w:bCs/>
                <w:sz w:val="21"/>
                <w:szCs w:val="21"/>
              </w:rPr>
              <w:t>注：以投标文件中提供的售后服务承诺书或相应的承诺函并加盖投标人电子签章为准。</w:t>
            </w:r>
          </w:p>
        </w:tc>
      </w:tr>
      <w:tr w14:paraId="41B4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14:paraId="03556B0D">
            <w:pPr>
              <w:pStyle w:val="15"/>
              <w:spacing w:line="360" w:lineRule="auto"/>
              <w:ind w:firstLine="420"/>
              <w:rPr>
                <w:rFonts w:hAnsi="宋体" w:cs="宋体"/>
                <w:bCs/>
                <w:kern w:val="2"/>
                <w:sz w:val="21"/>
              </w:rPr>
            </w:pPr>
            <w:r>
              <w:rPr>
                <w:rFonts w:hint="eastAsia" w:hAnsi="宋体" w:cs="宋体"/>
                <w:b/>
                <w:bCs/>
                <w:kern w:val="2"/>
                <w:sz w:val="21"/>
              </w:rPr>
              <w:t>总得分=1+2+3。</w:t>
            </w:r>
          </w:p>
        </w:tc>
      </w:tr>
    </w:tbl>
    <w:p w14:paraId="262F7BF0">
      <w:pPr>
        <w:spacing w:beforeLines="50" w:afterLines="50" w:line="360" w:lineRule="auto"/>
        <w:outlineLvl w:val="1"/>
        <w:rPr>
          <w:b/>
          <w:bCs/>
          <w:sz w:val="32"/>
          <w:szCs w:val="32"/>
        </w:rPr>
      </w:pPr>
      <w:r>
        <w:rPr>
          <w:rFonts w:hint="eastAsia" w:hAnsi="宋体"/>
          <w:bCs/>
        </w:rPr>
        <w:t>注：计分方法按四舍五入取至百分位。</w:t>
      </w:r>
    </w:p>
    <w:p w14:paraId="6031FFF2">
      <w:pPr>
        <w:spacing w:beforeLines="50" w:afterLines="50" w:line="360" w:lineRule="auto"/>
        <w:jc w:val="center"/>
        <w:outlineLvl w:val="1"/>
        <w:rPr>
          <w:b/>
          <w:bCs/>
          <w:sz w:val="32"/>
          <w:szCs w:val="32"/>
        </w:rPr>
      </w:pPr>
    </w:p>
    <w:p w14:paraId="476C24B6">
      <w:pPr>
        <w:rPr>
          <w:b/>
          <w:bCs/>
          <w:sz w:val="32"/>
          <w:szCs w:val="32"/>
        </w:rPr>
      </w:pPr>
      <w:r>
        <w:rPr>
          <w:b/>
          <w:bCs/>
          <w:sz w:val="32"/>
          <w:szCs w:val="32"/>
        </w:rPr>
        <w:br w:type="page"/>
      </w:r>
    </w:p>
    <w:p w14:paraId="741260BB">
      <w:pPr>
        <w:spacing w:beforeLines="50" w:afterLines="50" w:line="360" w:lineRule="auto"/>
        <w:outlineLvl w:val="1"/>
        <w:rPr>
          <w:b/>
          <w:bCs/>
          <w:sz w:val="32"/>
          <w:szCs w:val="32"/>
        </w:rPr>
      </w:pPr>
      <w:r>
        <w:rPr>
          <w:rFonts w:hint="eastAsia" w:hAnsi="宋体"/>
          <w:b/>
          <w:sz w:val="28"/>
          <w:szCs w:val="28"/>
        </w:rPr>
        <w:t>标项三适用：</w:t>
      </w:r>
    </w:p>
    <w:tbl>
      <w:tblPr>
        <w:tblStyle w:val="25"/>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20"/>
        <w:gridCol w:w="1260"/>
        <w:gridCol w:w="6345"/>
      </w:tblGrid>
      <w:tr w14:paraId="1B80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845" w:type="dxa"/>
            <w:gridSpan w:val="2"/>
            <w:vAlign w:val="center"/>
          </w:tcPr>
          <w:p w14:paraId="3D3A2505">
            <w:pPr>
              <w:keepNext w:val="0"/>
              <w:keepLines w:val="0"/>
              <w:suppressLineNumbers w:val="0"/>
              <w:adjustRightInd w:val="0"/>
              <w:spacing w:before="0" w:beforeAutospacing="0" w:after="0" w:afterAutospacing="0"/>
              <w:ind w:left="0" w:right="0"/>
              <w:jc w:val="center"/>
              <w:textAlignment w:val="baseline"/>
              <w:rPr>
                <w:rFonts w:hint="eastAsia" w:ascii="宋体" w:hAnsi="宋体" w:eastAsia="宋体" w:cs="宋体"/>
                <w:sz w:val="21"/>
                <w:szCs w:val="21"/>
              </w:rPr>
            </w:pPr>
            <w:r>
              <w:rPr>
                <w:rFonts w:hint="eastAsia" w:ascii="宋体" w:hAnsi="宋体" w:eastAsia="宋体" w:cs="宋体"/>
                <w:b/>
                <w:sz w:val="21"/>
                <w:szCs w:val="21"/>
              </w:rPr>
              <w:t>序号</w:t>
            </w:r>
          </w:p>
        </w:tc>
        <w:tc>
          <w:tcPr>
            <w:tcW w:w="1260" w:type="dxa"/>
            <w:vAlign w:val="center"/>
          </w:tcPr>
          <w:p w14:paraId="4B2D8F1A">
            <w:pPr>
              <w:keepNext w:val="0"/>
              <w:keepLines w:val="0"/>
              <w:suppressLineNumbers w:val="0"/>
              <w:adjustRightInd w:val="0"/>
              <w:spacing w:before="0" w:beforeAutospacing="0" w:after="0" w:afterAutospacing="0"/>
              <w:ind w:left="0" w:right="0"/>
              <w:jc w:val="center"/>
              <w:textAlignment w:val="baseline"/>
              <w:rPr>
                <w:rFonts w:hint="eastAsia" w:ascii="宋体" w:hAnsi="宋体" w:eastAsia="宋体" w:cs="宋体"/>
                <w:sz w:val="21"/>
                <w:szCs w:val="21"/>
              </w:rPr>
            </w:pPr>
            <w:r>
              <w:rPr>
                <w:rFonts w:hint="eastAsia" w:ascii="宋体" w:hAnsi="宋体" w:eastAsia="宋体" w:cs="宋体"/>
                <w:b/>
                <w:sz w:val="21"/>
                <w:szCs w:val="21"/>
              </w:rPr>
              <w:t>评审因素</w:t>
            </w:r>
          </w:p>
        </w:tc>
        <w:tc>
          <w:tcPr>
            <w:tcW w:w="6345" w:type="dxa"/>
            <w:vAlign w:val="center"/>
          </w:tcPr>
          <w:p w14:paraId="77B2CB4B">
            <w:pPr>
              <w:keepNext w:val="0"/>
              <w:keepLines w:val="0"/>
              <w:suppressLineNumbers w:val="0"/>
              <w:adjustRightInd w:val="0"/>
              <w:spacing w:before="0" w:beforeAutospacing="0" w:after="0" w:afterAutospacing="0"/>
              <w:ind w:left="0" w:right="0"/>
              <w:jc w:val="center"/>
              <w:textAlignment w:val="baseline"/>
              <w:rPr>
                <w:rFonts w:hint="eastAsia" w:ascii="宋体" w:hAnsi="宋体" w:eastAsia="宋体" w:cs="宋体"/>
                <w:sz w:val="21"/>
                <w:szCs w:val="21"/>
              </w:rPr>
            </w:pPr>
            <w:r>
              <w:rPr>
                <w:rFonts w:hint="eastAsia" w:ascii="宋体" w:hAnsi="宋体" w:eastAsia="宋体" w:cs="宋体"/>
                <w:b/>
                <w:sz w:val="21"/>
                <w:szCs w:val="21"/>
              </w:rPr>
              <w:t>评分标准</w:t>
            </w:r>
          </w:p>
        </w:tc>
      </w:tr>
      <w:tr w14:paraId="49F27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Align w:val="center"/>
          </w:tcPr>
          <w:p w14:paraId="283434C3">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sz w:val="21"/>
                <w:szCs w:val="21"/>
              </w:rPr>
            </w:pPr>
            <w:r>
              <w:rPr>
                <w:rFonts w:hint="eastAsia" w:ascii="宋体" w:hAnsi="宋体" w:eastAsia="宋体" w:cs="宋体"/>
                <w:b/>
                <w:sz w:val="21"/>
                <w:szCs w:val="21"/>
              </w:rPr>
              <w:t>1</w:t>
            </w:r>
          </w:p>
        </w:tc>
        <w:tc>
          <w:tcPr>
            <w:tcW w:w="1320" w:type="dxa"/>
            <w:vAlign w:val="center"/>
          </w:tcPr>
          <w:p w14:paraId="31F1E231">
            <w:pPr>
              <w:keepNext w:val="0"/>
              <w:keepLines w:val="0"/>
              <w:suppressLineNumbers w:val="0"/>
              <w:adjustRightInd w:val="0"/>
              <w:spacing w:before="0" w:beforeAutospacing="0" w:after="0" w:afterAutospacing="0" w:line="360" w:lineRule="auto"/>
              <w:ind w:left="0" w:leftChars="-95" w:right="-155" w:rightChars="-74" w:hanging="199" w:hangingChars="95"/>
              <w:jc w:val="center"/>
              <w:textAlignment w:val="baseline"/>
              <w:rPr>
                <w:rFonts w:hint="eastAsia" w:ascii="宋体" w:hAnsi="宋体" w:eastAsia="宋体" w:cs="宋体"/>
                <w:b w:val="0"/>
                <w:bCs/>
                <w:sz w:val="21"/>
                <w:szCs w:val="21"/>
              </w:rPr>
            </w:pPr>
            <w:r>
              <w:rPr>
                <w:rFonts w:hint="eastAsia" w:ascii="宋体" w:hAnsi="宋体" w:eastAsia="宋体" w:cs="宋体"/>
                <w:b w:val="0"/>
                <w:bCs/>
                <w:sz w:val="21"/>
                <w:szCs w:val="21"/>
              </w:rPr>
              <w:t>价格</w:t>
            </w:r>
            <w:r>
              <w:rPr>
                <w:rFonts w:hint="eastAsia" w:ascii="宋体" w:hAnsi="宋体" w:eastAsia="宋体" w:cs="宋体"/>
                <w:b w:val="0"/>
                <w:bCs/>
                <w:sz w:val="21"/>
                <w:szCs w:val="21"/>
                <w:lang w:val="en-US" w:eastAsia="zh-CN"/>
              </w:rPr>
              <w:t>部</w:t>
            </w:r>
            <w:r>
              <w:rPr>
                <w:rFonts w:hint="eastAsia" w:ascii="宋体" w:hAnsi="宋体" w:eastAsia="宋体" w:cs="宋体"/>
                <w:b w:val="0"/>
                <w:bCs/>
                <w:sz w:val="21"/>
                <w:szCs w:val="21"/>
              </w:rPr>
              <w:t>分</w:t>
            </w:r>
          </w:p>
          <w:p w14:paraId="0435863F">
            <w:pPr>
              <w:keepNext w:val="0"/>
              <w:keepLines w:val="0"/>
              <w:suppressLineNumbers w:val="0"/>
              <w:adjustRightInd w:val="0"/>
              <w:spacing w:before="0" w:beforeAutospacing="0" w:after="0" w:afterAutospacing="0" w:line="360" w:lineRule="auto"/>
              <w:ind w:left="0" w:leftChars="-95" w:right="-155" w:rightChars="-74" w:hanging="199" w:hangingChars="95"/>
              <w:jc w:val="center"/>
              <w:textAlignment w:val="baseline"/>
              <w:rPr>
                <w:rFonts w:hint="eastAsia" w:ascii="宋体" w:hAnsi="宋体" w:eastAsia="宋体" w:cs="宋体"/>
                <w:b w:val="0"/>
                <w:bCs/>
                <w:sz w:val="21"/>
                <w:szCs w:val="21"/>
              </w:rPr>
            </w:pPr>
            <w:r>
              <w:rPr>
                <w:rFonts w:hint="eastAsia" w:ascii="宋体" w:hAnsi="宋体" w:eastAsia="宋体" w:cs="宋体"/>
                <w:b w:val="0"/>
                <w:bCs/>
                <w:sz w:val="21"/>
                <w:szCs w:val="21"/>
              </w:rPr>
              <w:t>（满分</w:t>
            </w:r>
            <w:r>
              <w:rPr>
                <w:rFonts w:hint="eastAsia" w:ascii="宋体" w:hAnsi="宋体" w:eastAsia="宋体" w:cs="宋体"/>
                <w:b w:val="0"/>
                <w:bCs/>
                <w:sz w:val="21"/>
                <w:szCs w:val="21"/>
                <w:u w:val="single"/>
              </w:rPr>
              <w:t>30</w:t>
            </w:r>
            <w:r>
              <w:rPr>
                <w:rFonts w:hint="eastAsia" w:ascii="宋体" w:hAnsi="宋体" w:eastAsia="宋体" w:cs="宋体"/>
                <w:b w:val="0"/>
                <w:bCs/>
                <w:sz w:val="21"/>
                <w:szCs w:val="21"/>
              </w:rPr>
              <w:t>分）</w:t>
            </w:r>
          </w:p>
          <w:p w14:paraId="30D9D660">
            <w:pPr>
              <w:keepNext w:val="0"/>
              <w:keepLines w:val="0"/>
              <w:suppressLineNumbers w:val="0"/>
              <w:adjustRightInd w:val="0"/>
              <w:spacing w:before="0" w:beforeAutospacing="0" w:after="0" w:afterAutospacing="0" w:line="360" w:lineRule="auto"/>
              <w:ind w:left="0" w:right="0"/>
              <w:jc w:val="left"/>
              <w:textAlignment w:val="baseline"/>
              <w:rPr>
                <w:rFonts w:hint="eastAsia" w:ascii="宋体" w:hAnsi="宋体" w:eastAsia="宋体" w:cs="宋体"/>
                <w:b w:val="0"/>
                <w:bCs/>
                <w:sz w:val="21"/>
                <w:szCs w:val="21"/>
              </w:rPr>
            </w:pPr>
          </w:p>
        </w:tc>
        <w:tc>
          <w:tcPr>
            <w:tcW w:w="1260" w:type="dxa"/>
            <w:vAlign w:val="center"/>
          </w:tcPr>
          <w:p w14:paraId="1C02F02B">
            <w:pPr>
              <w:keepNext w:val="0"/>
              <w:keepLines w:val="0"/>
              <w:suppressLineNumbers w:val="0"/>
              <w:adjustRightInd w:val="0"/>
              <w:spacing w:before="0" w:beforeAutospacing="0" w:after="0" w:afterAutospacing="0" w:line="360" w:lineRule="auto"/>
              <w:ind w:left="0" w:leftChars="-95" w:right="-155" w:rightChars="-74" w:hanging="199" w:hangingChars="95"/>
              <w:jc w:val="center"/>
              <w:textAlignment w:val="baseline"/>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价格分</w:t>
            </w:r>
          </w:p>
          <w:p w14:paraId="6C7C48A9">
            <w:pPr>
              <w:keepNext w:val="0"/>
              <w:keepLines w:val="0"/>
              <w:suppressLineNumbers w:val="0"/>
              <w:adjustRightInd w:val="0"/>
              <w:spacing w:before="0" w:beforeAutospacing="0" w:after="0" w:afterAutospacing="0" w:line="360" w:lineRule="auto"/>
              <w:ind w:left="0" w:leftChars="-95" w:right="-155" w:rightChars="-74" w:hanging="199" w:hangingChars="95"/>
              <w:jc w:val="center"/>
              <w:textAlignment w:val="baseline"/>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（满分30分）</w:t>
            </w:r>
          </w:p>
          <w:p w14:paraId="68BA80D8">
            <w:pPr>
              <w:pStyle w:val="12"/>
              <w:keepNext w:val="0"/>
              <w:keepLines w:val="0"/>
              <w:pageBreakBefore w:val="0"/>
              <w:widowControl w:val="0"/>
              <w:suppressLineNumbers w:val="0"/>
              <w:kinsoku/>
              <w:wordWrap/>
              <w:overflowPunct/>
              <w:topLinePunct w:val="0"/>
              <w:autoSpaceDE/>
              <w:autoSpaceDN/>
              <w:bidi w:val="0"/>
              <w:snapToGrid/>
              <w:spacing w:before="0" w:beforeAutospacing="0" w:after="0" w:afterAutospacing="0"/>
              <w:ind w:left="0" w:right="0" w:firstLine="420" w:firstLineChars="200"/>
              <w:rPr>
                <w:rFonts w:hint="eastAsia" w:ascii="宋体" w:hAnsi="宋体" w:eastAsia="宋体" w:cs="宋体"/>
                <w:b w:val="0"/>
                <w:bCs/>
                <w:sz w:val="21"/>
                <w:szCs w:val="21"/>
              </w:rPr>
            </w:pPr>
          </w:p>
        </w:tc>
        <w:tc>
          <w:tcPr>
            <w:tcW w:w="6345" w:type="dxa"/>
            <w:vAlign w:val="center"/>
          </w:tcPr>
          <w:p w14:paraId="7044429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1.评标报价为投标人的投标报价进行政策性扣除后的价格，评标报价只是作为评标时使用。最终中标人的中标金额等于投标报价。</w:t>
            </w:r>
          </w:p>
          <w:p w14:paraId="6E8AD70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2.政策性扣除计算方法。</w:t>
            </w:r>
          </w:p>
          <w:p w14:paraId="5A9618AD">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政府采购促进中小企业发展管理办法》（财库〔2020〕46号）及《广西壮族自治区财政厅关于持续优化政府采购营商环境推动高质量发展的通知》（桂财采〔2024〕55号）规定，投标人在其投标文件中提供《中小企业声明函》，且其投标全部货物由小微企业制造的，对其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评标报价=投标报价×（1-4 %）。除上述情况外，评标报价=投标报价。</w:t>
            </w:r>
          </w:p>
          <w:p w14:paraId="7AB1D2D0">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5910E12B">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93C4BF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5.本国产品政策性扣除计算方法。</w:t>
            </w:r>
          </w:p>
          <w:p w14:paraId="735A87E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72FE5CA6">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6CBBB668">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如果所有参与竞争的供应商均可享受本国产品价格评审优惠，则统一不进行价格扣除。</w:t>
            </w:r>
          </w:p>
          <w:p w14:paraId="2378B1E6">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在其投标文件中对其提供的产品出具《关于符合本国产品标准的声明函》或财政部会同有关部门规定的有关证明文件的，该产品视为本国产品，给予政策性价格扣除，用扣除后的价格参与评审（未提供上述证明文件或不符合条件的，不享受价格扣除优惠）。</w:t>
            </w:r>
          </w:p>
          <w:p w14:paraId="799CE17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满足招标文件要求且评标报价最低的评标报价为评标基准价，其价格分为满分。</w:t>
            </w:r>
          </w:p>
          <w:p w14:paraId="7D3CC144">
            <w:pPr>
              <w:pStyle w:val="12"/>
              <w:keepNext w:val="0"/>
              <w:keepLines w:val="0"/>
              <w:pageBreakBefore w:val="0"/>
              <w:widowControl w:val="0"/>
              <w:suppressLineNumbers w:val="0"/>
              <w:kinsoku/>
              <w:wordWrap/>
              <w:overflowPunct/>
              <w:topLinePunct w:val="0"/>
              <w:autoSpaceDE/>
              <w:autoSpaceDN/>
              <w:bidi w:val="0"/>
              <w:snapToGrid/>
              <w:spacing w:before="0" w:beforeAutospacing="0" w:after="0" w:afterAutospacing="0"/>
              <w:ind w:left="0" w:right="0" w:firstLine="420" w:firstLineChars="200"/>
              <w:rPr>
                <w:rFonts w:hint="eastAsia" w:ascii="宋体" w:hAnsi="宋体" w:eastAsia="宋体" w:cs="宋体"/>
                <w:sz w:val="21"/>
                <w:szCs w:val="21"/>
              </w:rPr>
            </w:pPr>
            <w:r>
              <w:rPr>
                <w:rFonts w:hint="eastAsia" w:ascii="宋体" w:hAnsi="宋体" w:eastAsia="宋体" w:cs="宋体"/>
                <w:bCs/>
                <w:color w:val="auto"/>
                <w:sz w:val="21"/>
                <w:szCs w:val="21"/>
                <w:highlight w:val="none"/>
              </w:rPr>
              <w:t>价格分计算公式：价格分=（评标基准价／评标报价）×30分</w:t>
            </w:r>
          </w:p>
        </w:tc>
      </w:tr>
      <w:tr w14:paraId="5E35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restart"/>
            <w:vAlign w:val="center"/>
          </w:tcPr>
          <w:p w14:paraId="30246CDC">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sz w:val="21"/>
                <w:szCs w:val="21"/>
              </w:rPr>
            </w:pPr>
            <w:r>
              <w:rPr>
                <w:rFonts w:hint="eastAsia" w:ascii="宋体" w:hAnsi="宋体" w:eastAsia="宋体" w:cs="宋体"/>
                <w:b/>
                <w:sz w:val="21"/>
                <w:szCs w:val="21"/>
              </w:rPr>
              <w:t>2</w:t>
            </w:r>
          </w:p>
        </w:tc>
        <w:tc>
          <w:tcPr>
            <w:tcW w:w="1320" w:type="dxa"/>
            <w:vMerge w:val="restart"/>
            <w:vAlign w:val="center"/>
          </w:tcPr>
          <w:p w14:paraId="6DB6766D">
            <w:pPr>
              <w:keepNext w:val="0"/>
              <w:keepLines w:val="0"/>
              <w:suppressLineNumbers w:val="0"/>
              <w:adjustRightInd w:val="0"/>
              <w:spacing w:before="0" w:beforeAutospacing="0" w:after="0" w:afterAutospacing="0" w:line="360" w:lineRule="auto"/>
              <w:ind w:left="-105" w:leftChars="-50" w:right="-105" w:rightChars="-50"/>
              <w:jc w:val="center"/>
              <w:textAlignment w:val="baseline"/>
              <w:rPr>
                <w:rFonts w:hint="eastAsia" w:ascii="宋体" w:hAnsi="宋体" w:eastAsia="宋体" w:cs="宋体"/>
                <w:b w:val="0"/>
                <w:bCs w:val="0"/>
                <w:sz w:val="21"/>
                <w:szCs w:val="21"/>
              </w:rPr>
            </w:pPr>
            <w:r>
              <w:rPr>
                <w:rFonts w:hint="eastAsia" w:ascii="宋体" w:hAnsi="宋体" w:eastAsia="宋体" w:cs="宋体"/>
                <w:b w:val="0"/>
                <w:bCs w:val="0"/>
                <w:sz w:val="21"/>
                <w:szCs w:val="21"/>
              </w:rPr>
              <w:t>技术</w:t>
            </w:r>
            <w:r>
              <w:rPr>
                <w:rFonts w:hint="eastAsia" w:ascii="宋体" w:hAnsi="宋体" w:eastAsia="宋体" w:cs="宋体"/>
                <w:b w:val="0"/>
                <w:bCs w:val="0"/>
                <w:sz w:val="21"/>
                <w:szCs w:val="21"/>
                <w:lang w:val="en-US" w:eastAsia="zh-CN"/>
              </w:rPr>
              <w:t>部</w:t>
            </w:r>
            <w:r>
              <w:rPr>
                <w:rFonts w:hint="eastAsia" w:ascii="宋体" w:hAnsi="宋体" w:eastAsia="宋体" w:cs="宋体"/>
                <w:b w:val="0"/>
                <w:bCs w:val="0"/>
                <w:sz w:val="21"/>
                <w:szCs w:val="21"/>
              </w:rPr>
              <w:t>分</w:t>
            </w:r>
          </w:p>
          <w:p w14:paraId="4DF25C6B">
            <w:pPr>
              <w:keepNext w:val="0"/>
              <w:keepLines w:val="0"/>
              <w:suppressLineNumbers w:val="0"/>
              <w:adjustRightInd w:val="0"/>
              <w:spacing w:before="0" w:beforeAutospacing="0" w:after="0" w:afterAutospacing="0" w:line="360" w:lineRule="auto"/>
              <w:ind w:left="-199" w:leftChars="-95" w:right="-105" w:rightChars="-50"/>
              <w:jc w:val="center"/>
              <w:textAlignment w:val="baseline"/>
              <w:rPr>
                <w:rFonts w:hint="eastAsia" w:ascii="宋体" w:hAnsi="宋体" w:eastAsia="宋体" w:cs="宋体"/>
                <w:b w:val="0"/>
                <w:bCs w:val="0"/>
                <w:spacing w:val="-18"/>
                <w:sz w:val="21"/>
                <w:szCs w:val="21"/>
              </w:rPr>
            </w:pPr>
            <w:r>
              <w:rPr>
                <w:rFonts w:hint="eastAsia" w:ascii="宋体" w:hAnsi="宋体" w:eastAsia="宋体" w:cs="宋体"/>
                <w:b w:val="0"/>
                <w:bCs w:val="0"/>
                <w:sz w:val="21"/>
                <w:szCs w:val="21"/>
              </w:rPr>
              <w:t>（满分</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53</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分）</w:t>
            </w:r>
          </w:p>
        </w:tc>
        <w:tc>
          <w:tcPr>
            <w:tcW w:w="1260" w:type="dxa"/>
            <w:vAlign w:val="center"/>
          </w:tcPr>
          <w:p w14:paraId="6BAC5833">
            <w:pPr>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sz w:val="21"/>
                <w:szCs w:val="21"/>
                <w:highlight w:val="none"/>
                <w:u w:val="single"/>
              </w:rPr>
            </w:pPr>
            <w:r>
              <w:rPr>
                <w:rFonts w:hint="eastAsia" w:ascii="宋体" w:hAnsi="宋体" w:eastAsia="宋体" w:cs="宋体"/>
                <w:sz w:val="21"/>
                <w:szCs w:val="21"/>
              </w:rPr>
              <w:t>技术参数分（满分</w:t>
            </w:r>
            <w:r>
              <w:rPr>
                <w:rFonts w:hint="eastAsia" w:ascii="宋体" w:hAnsi="宋体" w:eastAsia="宋体" w:cs="宋体"/>
                <w:sz w:val="21"/>
                <w:szCs w:val="21"/>
                <w:u w:val="single"/>
              </w:rPr>
              <w:t>4</w:t>
            </w:r>
            <w:r>
              <w:rPr>
                <w:rFonts w:hint="eastAsia" w:ascii="宋体" w:hAnsi="宋体" w:eastAsia="宋体" w:cs="宋体"/>
                <w:sz w:val="21"/>
                <w:szCs w:val="21"/>
                <w:u w:val="single"/>
                <w:lang w:val="en-US" w:eastAsia="zh-CN"/>
              </w:rPr>
              <w:t>4</w:t>
            </w:r>
            <w:r>
              <w:rPr>
                <w:rFonts w:hint="eastAsia" w:ascii="宋体" w:hAnsi="宋体" w:eastAsia="宋体" w:cs="宋体"/>
                <w:sz w:val="21"/>
                <w:szCs w:val="21"/>
              </w:rPr>
              <w:t>分）</w:t>
            </w:r>
          </w:p>
        </w:tc>
        <w:tc>
          <w:tcPr>
            <w:tcW w:w="6345" w:type="dxa"/>
            <w:vAlign w:val="center"/>
          </w:tcPr>
          <w:p w14:paraId="3D9D7C8A">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评标委员会对通过资格性和符合性审查进入详评的各投标人投标文件，对照招标文件《采购需求》中“技术参数</w:t>
            </w:r>
            <w:r>
              <w:rPr>
                <w:rFonts w:hint="eastAsia" w:ascii="宋体" w:hAnsi="宋体" w:eastAsia="宋体" w:cs="宋体"/>
                <w:sz w:val="21"/>
                <w:szCs w:val="21"/>
                <w:lang w:val="en-US" w:eastAsia="zh-CN"/>
              </w:rPr>
              <w:t>要求</w:t>
            </w:r>
            <w:r>
              <w:rPr>
                <w:rFonts w:hint="eastAsia" w:ascii="宋体" w:hAnsi="宋体" w:eastAsia="宋体" w:cs="宋体"/>
                <w:sz w:val="21"/>
                <w:szCs w:val="21"/>
              </w:rPr>
              <w:t>”的响应情况进行独立评审，并按如下计分方式确定得分：</w:t>
            </w:r>
          </w:p>
          <w:p w14:paraId="4717FE3C">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（1）基本分：通过资格性和符合性审查的，得基本分</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4</w:t>
            </w:r>
            <w:r>
              <w:rPr>
                <w:rFonts w:hint="eastAsia" w:ascii="宋体" w:hAnsi="宋体" w:eastAsia="宋体" w:cs="宋体"/>
                <w:sz w:val="21"/>
                <w:szCs w:val="21"/>
              </w:rPr>
              <w:t>分。满分</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4</w:t>
            </w:r>
            <w:r>
              <w:rPr>
                <w:rFonts w:hint="eastAsia" w:ascii="宋体" w:hAnsi="宋体" w:eastAsia="宋体" w:cs="宋体"/>
                <w:sz w:val="21"/>
                <w:szCs w:val="21"/>
              </w:rPr>
              <w:t>分。</w:t>
            </w:r>
          </w:p>
          <w:p w14:paraId="21DAF6BF">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注：采购需求中标注“★”为实质性响应参数，不满足任意一项★参数将在符合性审查环节直接否决投标，本评分项不再对★参数做扣分、加分评审。</w:t>
            </w:r>
          </w:p>
          <w:p w14:paraId="1CCB8E80">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（2）负偏离扣分：</w:t>
            </w:r>
          </w:p>
          <w:p w14:paraId="56E5899A">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非“▲”号普通技术参数发生负偏离的，每有一项扣2分；</w:t>
            </w:r>
          </w:p>
          <w:p w14:paraId="164F6F64">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带“▲”号重要技术参数发生负偏离的，每有一项扣</w:t>
            </w:r>
            <w:r>
              <w:rPr>
                <w:rFonts w:hint="eastAsia" w:ascii="宋体" w:hAnsi="宋体" w:cs="宋体"/>
                <w:sz w:val="21"/>
                <w:szCs w:val="21"/>
                <w:lang w:val="en-US" w:eastAsia="zh-CN"/>
              </w:rPr>
              <w:t>4</w:t>
            </w:r>
            <w:r>
              <w:rPr>
                <w:rFonts w:hint="eastAsia" w:ascii="宋体" w:hAnsi="宋体" w:eastAsia="宋体" w:cs="宋体"/>
                <w:sz w:val="21"/>
                <w:szCs w:val="21"/>
              </w:rPr>
              <w:t>分；</w:t>
            </w:r>
          </w:p>
          <w:p w14:paraId="46F626E7">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本部分最多扣</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4</w:t>
            </w:r>
            <w:r>
              <w:rPr>
                <w:rFonts w:hint="eastAsia" w:ascii="宋体" w:hAnsi="宋体" w:eastAsia="宋体" w:cs="宋体"/>
                <w:sz w:val="21"/>
                <w:szCs w:val="21"/>
              </w:rPr>
              <w:t>分，扣完本项基本分为止，不产生负分。</w:t>
            </w:r>
          </w:p>
          <w:p w14:paraId="03F72EA9">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判定规则：是否构成负偏离，以投标文件响应内容、所附证明材料与采购需求参数客观比对确认。</w:t>
            </w:r>
          </w:p>
          <w:p w14:paraId="62C964B3">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color w:val="auto"/>
                <w:kern w:val="0"/>
                <w:sz w:val="21"/>
                <w:szCs w:val="21"/>
                <w:highlight w:val="none"/>
              </w:rPr>
            </w:pPr>
            <w:r>
              <w:rPr>
                <w:rFonts w:hint="eastAsia" w:ascii="宋体" w:hAnsi="宋体" w:eastAsia="宋体" w:cs="宋体"/>
                <w:sz w:val="21"/>
                <w:szCs w:val="21"/>
              </w:rPr>
              <w:t>注：如投标产品对外公开的产品彩页或说明书或官网截图或检测报告中技术参数与投标文件中承诺的不一致时，以产品彩页或说明书或官网截图或检测报告中的技术参数为准。</w:t>
            </w:r>
          </w:p>
        </w:tc>
      </w:tr>
      <w:tr w14:paraId="6760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1A7042BA">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sz w:val="21"/>
                <w:szCs w:val="21"/>
              </w:rPr>
            </w:pPr>
          </w:p>
        </w:tc>
        <w:tc>
          <w:tcPr>
            <w:tcW w:w="1320" w:type="dxa"/>
            <w:vMerge w:val="continue"/>
            <w:vAlign w:val="center"/>
          </w:tcPr>
          <w:p w14:paraId="3E9FC5A8">
            <w:pPr>
              <w:keepNext w:val="0"/>
              <w:keepLines w:val="0"/>
              <w:suppressLineNumbers w:val="0"/>
              <w:adjustRightInd w:val="0"/>
              <w:spacing w:before="0" w:beforeAutospacing="0" w:after="0" w:afterAutospacing="0" w:line="360" w:lineRule="auto"/>
              <w:ind w:left="-199" w:leftChars="-95" w:right="-105" w:rightChars="-50"/>
              <w:jc w:val="center"/>
              <w:textAlignment w:val="baseline"/>
              <w:rPr>
                <w:rFonts w:hint="eastAsia" w:ascii="宋体" w:hAnsi="宋体" w:eastAsia="宋体" w:cs="宋体"/>
                <w:b w:val="0"/>
                <w:bCs w:val="0"/>
                <w:sz w:val="21"/>
                <w:szCs w:val="21"/>
              </w:rPr>
            </w:pPr>
          </w:p>
        </w:tc>
        <w:tc>
          <w:tcPr>
            <w:tcW w:w="1260" w:type="dxa"/>
            <w:vAlign w:val="center"/>
          </w:tcPr>
          <w:p w14:paraId="580ED973">
            <w:pPr>
              <w:keepNext/>
              <w:keepLines w:val="0"/>
              <w:widowControl/>
              <w:suppressLineNumbers w:val="0"/>
              <w:spacing w:before="0" w:beforeAutospacing="0" w:after="0" w:afterAutospacing="0" w:line="36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kern w:val="0"/>
                <w:sz w:val="21"/>
                <w:szCs w:val="21"/>
              </w:rPr>
              <w:t>项目实施方案分（满分</w:t>
            </w:r>
            <w:r>
              <w:rPr>
                <w:rFonts w:hint="eastAsia" w:ascii="宋体" w:hAnsi="宋体" w:eastAsia="宋体" w:cs="宋体"/>
                <w:kern w:val="0"/>
                <w:sz w:val="21"/>
                <w:szCs w:val="21"/>
                <w:u w:val="single"/>
              </w:rPr>
              <w:t>9</w:t>
            </w:r>
            <w:r>
              <w:rPr>
                <w:rFonts w:hint="eastAsia" w:ascii="宋体" w:hAnsi="宋体" w:eastAsia="宋体" w:cs="宋体"/>
                <w:kern w:val="0"/>
                <w:sz w:val="21"/>
                <w:szCs w:val="21"/>
              </w:rPr>
              <w:t>分）</w:t>
            </w:r>
          </w:p>
        </w:tc>
        <w:tc>
          <w:tcPr>
            <w:tcW w:w="6345" w:type="dxa"/>
            <w:vAlign w:val="center"/>
          </w:tcPr>
          <w:p w14:paraId="64E0AD2F">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由评标委员会根据各投标人投标文件中项目实施方案中的“项目前期准备、项目实施计划、实施人员安排、供货安装调试方案、质量保障措施、项目安全管理措施等内容进行综合评审并独立打分：（未提供相应评审内容或未达到一档要求的，不得分）</w:t>
            </w:r>
          </w:p>
          <w:p w14:paraId="0772CCEA">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 xml:space="preserve">一档（3分）：项目实施方案中，有项目前期准备、项目实施计划、实施人员安排、供货安装调试方案、质量保障措施、项目安全管理措施等内容简单描述，且基本满足本项目的实施需求的； </w:t>
            </w:r>
          </w:p>
          <w:p w14:paraId="3E04147D">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二档（6分）：项目实施方案中，有较详细的项目前期准备方案，有具体的项目实施计划、进度安排，实施人员安排及岗位明确，供货计划紧凑合理，安装调试方案有具体安装方法、安装流程及保障措施，有较详细的质量保障措施、项目安全管理措施，且实施方案满足本项目的实施需求的；</w:t>
            </w:r>
          </w:p>
          <w:p w14:paraId="00375221">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bCs/>
                <w:color w:val="auto"/>
                <w:sz w:val="21"/>
                <w:szCs w:val="21"/>
                <w:highlight w:val="none"/>
              </w:rPr>
            </w:pPr>
            <w:r>
              <w:rPr>
                <w:rFonts w:hint="eastAsia" w:ascii="宋体" w:hAnsi="宋体" w:eastAsia="宋体" w:cs="宋体"/>
                <w:sz w:val="21"/>
                <w:szCs w:val="21"/>
              </w:rPr>
              <w:t>三档（9分）：项目实施方案中，有详细的项目前期准备方案，有具体的项目实施进度计划、进度安排及进度保障措施等，有项目组织机构、实施人员安排、岗位明确、且实施人员具有一定的专业性并提供证明材料的，供货计划详细、紧凑、合理，安装调试方案有具体详细的安装方法、安装流程及保障措施，有详细的质量保障措施、项目安全管理措施，且实施方案整体具有完整性、可行性、针对性，同时满足本项目的实施需求的。</w:t>
            </w:r>
          </w:p>
        </w:tc>
      </w:tr>
      <w:tr w14:paraId="3314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restart"/>
            <w:vAlign w:val="center"/>
          </w:tcPr>
          <w:p w14:paraId="7E9E4145">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3</w:t>
            </w:r>
          </w:p>
        </w:tc>
        <w:tc>
          <w:tcPr>
            <w:tcW w:w="1320" w:type="dxa"/>
            <w:vMerge w:val="restart"/>
            <w:vAlign w:val="center"/>
          </w:tcPr>
          <w:p w14:paraId="0BF30C8F">
            <w:pPr>
              <w:keepNext w:val="0"/>
              <w:keepLines w:val="0"/>
              <w:suppressLineNumbers w:val="0"/>
              <w:adjustRightInd w:val="0"/>
              <w:spacing w:before="0" w:beforeAutospacing="0" w:after="0" w:afterAutospacing="0" w:line="360" w:lineRule="auto"/>
              <w:ind w:left="-105" w:leftChars="-50" w:right="-105" w:rightChars="-50"/>
              <w:jc w:val="center"/>
              <w:textAlignment w:val="baseline"/>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商务部</w:t>
            </w:r>
            <w:r>
              <w:rPr>
                <w:rFonts w:hint="eastAsia" w:ascii="宋体" w:hAnsi="宋体" w:eastAsia="宋体" w:cs="宋体"/>
                <w:b w:val="0"/>
                <w:bCs w:val="0"/>
                <w:sz w:val="21"/>
                <w:szCs w:val="21"/>
              </w:rPr>
              <w:t>分</w:t>
            </w:r>
          </w:p>
          <w:p w14:paraId="2545AC33">
            <w:pPr>
              <w:keepNext w:val="0"/>
              <w:keepLines w:val="0"/>
              <w:suppressLineNumbers w:val="0"/>
              <w:adjustRightInd w:val="0"/>
              <w:spacing w:before="0" w:beforeAutospacing="0" w:after="0" w:afterAutospacing="0" w:line="360" w:lineRule="auto"/>
              <w:ind w:left="-199" w:leftChars="-95" w:right="-105" w:rightChars="-50"/>
              <w:jc w:val="center"/>
              <w:textAlignment w:val="baseline"/>
              <w:rPr>
                <w:rFonts w:hint="eastAsia" w:ascii="宋体" w:hAnsi="宋体" w:eastAsia="宋体" w:cs="宋体"/>
                <w:b w:val="0"/>
                <w:bCs w:val="0"/>
                <w:sz w:val="21"/>
                <w:szCs w:val="21"/>
              </w:rPr>
            </w:pPr>
            <w:r>
              <w:rPr>
                <w:rFonts w:hint="eastAsia" w:ascii="宋体" w:hAnsi="宋体" w:eastAsia="宋体" w:cs="宋体"/>
                <w:b w:val="0"/>
                <w:bCs w:val="0"/>
                <w:sz w:val="21"/>
                <w:szCs w:val="21"/>
              </w:rPr>
              <w:t>（满分</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17</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分</w:t>
            </w:r>
          </w:p>
        </w:tc>
        <w:tc>
          <w:tcPr>
            <w:tcW w:w="1260" w:type="dxa"/>
            <w:vAlign w:val="center"/>
          </w:tcPr>
          <w:p w14:paraId="004CDC2B">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sz w:val="21"/>
                <w:szCs w:val="21"/>
              </w:rPr>
              <w:t>业绩分（满分1分）</w:t>
            </w:r>
          </w:p>
        </w:tc>
        <w:tc>
          <w:tcPr>
            <w:tcW w:w="6345" w:type="dxa"/>
            <w:vAlign w:val="top"/>
          </w:tcPr>
          <w:p w14:paraId="1ABE7C5C">
            <w:pPr>
              <w:pStyle w:val="12"/>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color w:val="auto"/>
                <w:sz w:val="21"/>
                <w:szCs w:val="21"/>
                <w:highlight w:val="none"/>
              </w:rPr>
            </w:pPr>
            <w:r>
              <w:rPr>
                <w:rFonts w:hint="eastAsia" w:ascii="宋体" w:hAnsi="宋体" w:eastAsia="宋体" w:cs="宋体"/>
                <w:sz w:val="21"/>
                <w:szCs w:val="21"/>
              </w:rPr>
              <w:t>投标人自2023年1月1日至投标截止时间止，具有同类产品的项目业绩【以提供中标（成交）通知书或合同复印件或扫描件加盖投标人电子签章为准，并能清晰反映所货物名称（标的名称或产品名称）品牌、型号、合同签订时间或中标（成交）通知书发出时间，否则将不予计分；同一个编号的项目有两个或两个以上的分标中标的只算一次】的，每提供一个业绩得1分。满分1分</w:t>
            </w:r>
          </w:p>
        </w:tc>
      </w:tr>
      <w:tr w14:paraId="1496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79D7B8D1">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sz w:val="21"/>
                <w:szCs w:val="21"/>
                <w:lang w:val="en-US" w:eastAsia="zh-CN"/>
              </w:rPr>
            </w:pPr>
          </w:p>
        </w:tc>
        <w:tc>
          <w:tcPr>
            <w:tcW w:w="1320" w:type="dxa"/>
            <w:vMerge w:val="continue"/>
            <w:vAlign w:val="center"/>
          </w:tcPr>
          <w:p w14:paraId="0C17D949">
            <w:pPr>
              <w:keepNext w:val="0"/>
              <w:keepLines w:val="0"/>
              <w:suppressLineNumbers w:val="0"/>
              <w:adjustRightInd w:val="0"/>
              <w:spacing w:before="0" w:beforeAutospacing="0" w:after="0" w:afterAutospacing="0" w:line="360" w:lineRule="auto"/>
              <w:ind w:left="-199" w:leftChars="-95" w:right="-105" w:rightChars="-50"/>
              <w:jc w:val="center"/>
              <w:textAlignment w:val="baseline"/>
              <w:rPr>
                <w:rFonts w:hint="eastAsia" w:ascii="宋体" w:hAnsi="宋体" w:eastAsia="宋体" w:cs="宋体"/>
                <w:b w:val="0"/>
                <w:bCs w:val="0"/>
                <w:sz w:val="21"/>
                <w:szCs w:val="21"/>
              </w:rPr>
            </w:pPr>
          </w:p>
        </w:tc>
        <w:tc>
          <w:tcPr>
            <w:tcW w:w="1260" w:type="dxa"/>
            <w:vAlign w:val="center"/>
          </w:tcPr>
          <w:p w14:paraId="71963684">
            <w:pPr>
              <w:pStyle w:val="17"/>
              <w:keepNext w:val="0"/>
              <w:keepLines w:val="0"/>
              <w:suppressLineNumbers w:val="0"/>
              <w:tabs>
                <w:tab w:val="clear" w:pos="4153"/>
              </w:tabs>
              <w:spacing w:before="0" w:beforeAutospacing="0" w:after="0" w:afterAutospacing="0" w:line="360" w:lineRule="exact"/>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sz w:val="21"/>
                <w:szCs w:val="21"/>
              </w:rPr>
              <w:t>售后服务分（满分11分）</w:t>
            </w:r>
          </w:p>
        </w:tc>
        <w:tc>
          <w:tcPr>
            <w:tcW w:w="6345" w:type="dxa"/>
            <w:vAlign w:val="center"/>
          </w:tcPr>
          <w:p w14:paraId="2BF01D9E">
            <w:pPr>
              <w:keepNext w:val="0"/>
              <w:keepLines w:val="0"/>
              <w:suppressLineNumbers w:val="0"/>
              <w:tabs>
                <w:tab w:val="left" w:pos="2472"/>
              </w:tabs>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（1）售后服务承诺方案分</w:t>
            </w:r>
          </w:p>
          <w:p w14:paraId="10B4A64B">
            <w:pPr>
              <w:keepNext w:val="0"/>
              <w:keepLines w:val="0"/>
              <w:suppressLineNumbers w:val="0"/>
              <w:tabs>
                <w:tab w:val="left" w:pos="2472"/>
              </w:tabs>
              <w:spacing w:before="0" w:beforeAutospacing="0" w:after="0" w:afterAutospacing="0" w:line="360" w:lineRule="exact"/>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评标委员会根据各投标人提供的售后服务方案【包含但不限于：服务内容、到达故障现场时间、售后人员配备情况、故障出现解决方案、定期维护 (注明时间)方案、免费保修期外维修方案、备品备件</w:t>
            </w:r>
            <w:r>
              <w:rPr>
                <w:rFonts w:hint="eastAsia" w:ascii="宋体" w:hAnsi="宋体" w:eastAsia="宋体" w:cs="宋体"/>
                <w:bCs/>
                <w:sz w:val="21"/>
                <w:szCs w:val="21"/>
              </w:rPr>
              <w:t>仓</w:t>
            </w:r>
            <w:r>
              <w:rPr>
                <w:rFonts w:hint="eastAsia" w:ascii="宋体" w:hAnsi="宋体" w:eastAsia="宋体" w:cs="宋体"/>
                <w:sz w:val="21"/>
                <w:szCs w:val="21"/>
              </w:rPr>
              <w:t>库、其他优惠措施等】内容进行综合评审并独立打分：（未提供相应评审内容或未达到一档要求的，不得分）</w:t>
            </w:r>
          </w:p>
          <w:p w14:paraId="5E237ABF">
            <w:pPr>
              <w:keepNext w:val="0"/>
              <w:keepLines w:val="0"/>
              <w:suppressLineNumbers w:val="0"/>
              <w:tabs>
                <w:tab w:val="left" w:pos="2472"/>
              </w:tabs>
              <w:spacing w:before="0" w:beforeAutospacing="0" w:after="0" w:afterAutospacing="0" w:line="360" w:lineRule="exact"/>
              <w:ind w:left="0" w:right="0" w:firstLine="420" w:firstLineChars="200"/>
              <w:rPr>
                <w:rFonts w:hint="eastAsia" w:ascii="宋体" w:hAnsi="宋体" w:eastAsia="宋体" w:cs="宋体"/>
                <w:bCs/>
                <w:sz w:val="21"/>
                <w:szCs w:val="21"/>
              </w:rPr>
            </w:pPr>
            <w:r>
              <w:rPr>
                <w:rFonts w:hint="eastAsia" w:ascii="宋体" w:hAnsi="宋体" w:eastAsia="宋体" w:cs="宋体"/>
                <w:bCs/>
                <w:sz w:val="21"/>
                <w:szCs w:val="21"/>
              </w:rPr>
              <w:t>一档（3分）：有简单的售后服务内容和方案，提出了符合要求的处理问题和响应时间，有</w:t>
            </w:r>
            <w:r>
              <w:rPr>
                <w:rFonts w:hint="eastAsia" w:ascii="宋体" w:hAnsi="宋体" w:eastAsia="宋体" w:cs="宋体"/>
                <w:sz w:val="21"/>
                <w:szCs w:val="21"/>
              </w:rPr>
              <w:t>售后人员配备情况表，有简单的故障出现解决方案、定期维护 (注明时间)方案、免费保修期外维修方案，且</w:t>
            </w:r>
            <w:r>
              <w:rPr>
                <w:rFonts w:hint="eastAsia" w:ascii="宋体" w:hAnsi="宋体" w:eastAsia="宋体" w:cs="宋体"/>
                <w:bCs/>
                <w:sz w:val="21"/>
                <w:szCs w:val="21"/>
              </w:rPr>
              <w:t>售后服务方案基本满足本项目需求的；</w:t>
            </w:r>
          </w:p>
          <w:p w14:paraId="1C122B50">
            <w:pPr>
              <w:keepNext w:val="0"/>
              <w:keepLines w:val="0"/>
              <w:suppressLineNumbers w:val="0"/>
              <w:tabs>
                <w:tab w:val="left" w:pos="2472"/>
              </w:tabs>
              <w:spacing w:before="0" w:beforeAutospacing="0" w:after="0" w:afterAutospacing="0" w:line="360" w:lineRule="exact"/>
              <w:ind w:left="0" w:right="0" w:firstLine="420" w:firstLineChars="200"/>
              <w:rPr>
                <w:rFonts w:hint="eastAsia" w:ascii="宋体" w:hAnsi="宋体" w:eastAsia="宋体" w:cs="宋体"/>
                <w:bCs/>
                <w:sz w:val="21"/>
                <w:szCs w:val="21"/>
              </w:rPr>
            </w:pPr>
            <w:r>
              <w:rPr>
                <w:rFonts w:hint="eastAsia" w:ascii="宋体" w:hAnsi="宋体" w:eastAsia="宋体" w:cs="宋体"/>
                <w:bCs/>
                <w:sz w:val="21"/>
                <w:szCs w:val="21"/>
              </w:rPr>
              <w:t>二档（6分）：有较详细、完善的售后服务内容和方案，提出了具体的服务措施，出现故障响应时间、到达故障现场时间、解决故障处理时间优于招标文件要求，故障出现解决方案、定期维护(注明时间)方案、免费保修期外维修方案较详细、具有可行性、合理性，且有投入本项目的售后服务人员及备品备件仓库的；</w:t>
            </w:r>
          </w:p>
          <w:p w14:paraId="4ACC8862">
            <w:pPr>
              <w:keepNext w:val="0"/>
              <w:keepLines w:val="0"/>
              <w:suppressLineNumbers w:val="0"/>
              <w:tabs>
                <w:tab w:val="left" w:pos="2472"/>
              </w:tabs>
              <w:spacing w:before="0" w:beforeAutospacing="0" w:after="0" w:afterAutospacing="0" w:line="360" w:lineRule="exact"/>
              <w:ind w:left="0" w:right="0" w:firstLine="420" w:firstLineChars="200"/>
              <w:rPr>
                <w:rFonts w:hint="eastAsia" w:ascii="宋体" w:hAnsi="宋体" w:eastAsia="宋体" w:cs="宋体"/>
                <w:bCs/>
                <w:sz w:val="21"/>
                <w:szCs w:val="21"/>
              </w:rPr>
            </w:pPr>
            <w:r>
              <w:rPr>
                <w:rFonts w:hint="eastAsia" w:ascii="宋体" w:hAnsi="宋体" w:eastAsia="宋体" w:cs="宋体"/>
                <w:bCs/>
                <w:sz w:val="21"/>
                <w:szCs w:val="21"/>
              </w:rPr>
              <w:t>三档（9分）：有详细、完善的售后服务内容和方案，且满足招标文件要求的同时，提出了具体的服务内容及措施，出现故障响应时间在30分钟内、到达故障现场时间在2小时内、解决故障处理时间在8小时内（需提供投标人</w:t>
            </w:r>
            <w:r>
              <w:rPr>
                <w:rFonts w:hint="eastAsia" w:ascii="宋体" w:hAnsi="宋体" w:eastAsia="宋体" w:cs="宋体"/>
                <w:sz w:val="21"/>
                <w:szCs w:val="21"/>
              </w:rPr>
              <w:t>或其分公司或售后服务点到采购单位项目实施地的百度或高德等路线截图</w:t>
            </w:r>
            <w:r>
              <w:rPr>
                <w:rFonts w:hint="eastAsia" w:ascii="宋体" w:hAnsi="宋体" w:eastAsia="宋体" w:cs="宋体"/>
                <w:bCs/>
                <w:sz w:val="21"/>
                <w:szCs w:val="21"/>
              </w:rPr>
              <w:t>），故障出现解决方案、定期维护方案、免费保修期外维修方案详细描述、具有完整性、针对性和可行性，有投入本项目的售后服务人员及备品备件他仓库的【需提供有效售后服务人员及零配件仓库等证明材料复印件，人员证明材料包括但不限于劳动合同复印件或单位出具的证明材料或社保证明或其他有效证明材料，零配件仓库证明材料包括但不限于租赁合同复印件或产权证明文件或营业执照复印件】，其它有利于提高本项目产品或服务质量优惠措施的。</w:t>
            </w:r>
          </w:p>
          <w:p w14:paraId="16F205E6">
            <w:pPr>
              <w:keepNext w:val="0"/>
              <w:keepLines w:val="0"/>
              <w:suppressLineNumbers w:val="0"/>
              <w:tabs>
                <w:tab w:val="left" w:pos="2472"/>
              </w:tabs>
              <w:spacing w:before="0" w:beforeAutospacing="0" w:after="0" w:afterAutospacing="0" w:line="360" w:lineRule="exact"/>
              <w:ind w:left="0" w:right="0" w:firstLine="420" w:firstLineChars="200"/>
              <w:rPr>
                <w:rFonts w:hint="eastAsia" w:ascii="宋体" w:hAnsi="宋体" w:eastAsia="宋体" w:cs="宋体"/>
                <w:bCs/>
                <w:sz w:val="21"/>
                <w:szCs w:val="21"/>
              </w:rPr>
            </w:pPr>
            <w:r>
              <w:rPr>
                <w:rFonts w:hint="eastAsia" w:ascii="宋体" w:hAnsi="宋体" w:eastAsia="宋体" w:cs="宋体"/>
                <w:bCs/>
                <w:sz w:val="21"/>
                <w:szCs w:val="21"/>
              </w:rPr>
              <w:t>（2）承诺更长免费保修期（满分2分）</w:t>
            </w:r>
          </w:p>
          <w:p w14:paraId="7865B148">
            <w:pPr>
              <w:keepNext w:val="0"/>
              <w:keepLines w:val="0"/>
              <w:suppressLineNumbers w:val="0"/>
              <w:tabs>
                <w:tab w:val="left" w:pos="2472"/>
              </w:tabs>
              <w:spacing w:before="0" w:beforeAutospacing="0" w:after="0" w:afterAutospacing="0" w:line="360" w:lineRule="exact"/>
              <w:ind w:left="0" w:right="0" w:firstLine="420" w:firstLineChars="200"/>
              <w:rPr>
                <w:rFonts w:hint="eastAsia" w:ascii="宋体" w:hAnsi="宋体" w:eastAsia="宋体" w:cs="宋体"/>
                <w:bCs/>
                <w:sz w:val="21"/>
                <w:szCs w:val="21"/>
              </w:rPr>
            </w:pPr>
            <w:r>
              <w:rPr>
                <w:rFonts w:hint="eastAsia" w:ascii="宋体" w:hAnsi="宋体" w:eastAsia="宋体" w:cs="宋体"/>
                <w:bCs/>
                <w:sz w:val="21"/>
                <w:szCs w:val="21"/>
              </w:rPr>
              <w:t>投标人承诺所投产品在满足基本免费保修期的基础上每延长半年得1分，满分2分。</w:t>
            </w:r>
          </w:p>
          <w:p w14:paraId="69C782B4">
            <w:pPr>
              <w:keepNext w:val="0"/>
              <w:keepLines w:val="0"/>
              <w:suppressLineNumbers w:val="0"/>
              <w:tabs>
                <w:tab w:val="left" w:pos="2472"/>
              </w:tabs>
              <w:spacing w:before="0" w:beforeAutospacing="0" w:after="0" w:afterAutospacing="0" w:line="360" w:lineRule="exact"/>
              <w:ind w:left="0" w:right="0" w:firstLine="422" w:firstLineChars="200"/>
              <w:rPr>
                <w:rFonts w:hint="eastAsia" w:ascii="宋体" w:hAnsi="宋体" w:eastAsia="宋体" w:cs="宋体"/>
                <w:color w:val="auto"/>
                <w:sz w:val="21"/>
                <w:szCs w:val="21"/>
                <w:highlight w:val="none"/>
              </w:rPr>
            </w:pPr>
            <w:r>
              <w:rPr>
                <w:rFonts w:hint="eastAsia" w:ascii="宋体" w:hAnsi="宋体" w:eastAsia="宋体" w:cs="宋体"/>
                <w:b/>
                <w:bCs/>
                <w:sz w:val="21"/>
                <w:szCs w:val="21"/>
              </w:rPr>
              <w:t>注：以投标文件中提供的售后服务承诺书或相应的承诺函并加盖投标人电子签章为准。</w:t>
            </w:r>
          </w:p>
        </w:tc>
      </w:tr>
      <w:tr w14:paraId="1D3D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22082760">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sz w:val="21"/>
                <w:szCs w:val="21"/>
                <w:lang w:val="en-US" w:eastAsia="zh-CN"/>
              </w:rPr>
            </w:pPr>
          </w:p>
        </w:tc>
        <w:tc>
          <w:tcPr>
            <w:tcW w:w="1320" w:type="dxa"/>
            <w:vMerge w:val="continue"/>
            <w:vAlign w:val="center"/>
          </w:tcPr>
          <w:p w14:paraId="7EE15D61">
            <w:pPr>
              <w:keepNext w:val="0"/>
              <w:keepLines w:val="0"/>
              <w:suppressLineNumbers w:val="0"/>
              <w:adjustRightInd w:val="0"/>
              <w:spacing w:before="0" w:beforeAutospacing="0" w:after="0" w:afterAutospacing="0" w:line="360" w:lineRule="auto"/>
              <w:ind w:left="-199" w:leftChars="-95" w:right="-105" w:rightChars="-50"/>
              <w:jc w:val="center"/>
              <w:textAlignment w:val="baseline"/>
              <w:rPr>
                <w:rFonts w:hint="eastAsia" w:ascii="宋体" w:hAnsi="宋体" w:eastAsia="宋体" w:cs="宋体"/>
                <w:b w:val="0"/>
                <w:bCs w:val="0"/>
                <w:sz w:val="21"/>
                <w:szCs w:val="21"/>
              </w:rPr>
            </w:pPr>
          </w:p>
        </w:tc>
        <w:tc>
          <w:tcPr>
            <w:tcW w:w="1260" w:type="dxa"/>
            <w:vAlign w:val="center"/>
          </w:tcPr>
          <w:p w14:paraId="58C6E0E8">
            <w:pPr>
              <w:keepNext w:val="0"/>
              <w:keepLines w:val="0"/>
              <w:suppressLineNumbers w:val="0"/>
              <w:spacing w:before="0" w:beforeAutospacing="0" w:after="0" w:afterAutospacing="0" w:line="360" w:lineRule="exact"/>
              <w:ind w:left="0" w:right="0"/>
              <w:jc w:val="center"/>
              <w:rPr>
                <w:rFonts w:hint="eastAsia" w:ascii="宋体" w:hAnsi="宋体" w:eastAsia="宋体" w:cs="宋体"/>
                <w:sz w:val="21"/>
                <w:szCs w:val="21"/>
              </w:rPr>
            </w:pPr>
            <w:r>
              <w:rPr>
                <w:rFonts w:hint="eastAsia" w:ascii="宋体" w:hAnsi="宋体" w:eastAsia="宋体" w:cs="宋体"/>
                <w:bCs/>
                <w:sz w:val="21"/>
                <w:szCs w:val="21"/>
              </w:rPr>
              <w:t>培训方案（满分5分）</w:t>
            </w:r>
          </w:p>
        </w:tc>
        <w:tc>
          <w:tcPr>
            <w:tcW w:w="6345" w:type="dxa"/>
            <w:vAlign w:val="center"/>
          </w:tcPr>
          <w:p w14:paraId="7DF0FBE2">
            <w:pPr>
              <w:keepNext w:val="0"/>
              <w:keepLines w:val="0"/>
              <w:suppressLineNumbers w:val="0"/>
              <w:spacing w:before="0" w:beforeAutospacing="0" w:after="0" w:afterAutospacing="0" w:line="360" w:lineRule="exact"/>
              <w:ind w:left="0" w:right="0" w:firstLine="424" w:firstLineChars="202"/>
              <w:rPr>
                <w:rFonts w:hint="eastAsia" w:ascii="宋体" w:hAnsi="宋体" w:eastAsia="宋体" w:cs="宋体"/>
                <w:bCs/>
                <w:sz w:val="21"/>
                <w:szCs w:val="21"/>
              </w:rPr>
            </w:pPr>
            <w:r>
              <w:rPr>
                <w:rFonts w:hint="eastAsia" w:ascii="宋体" w:hAnsi="宋体" w:eastAsia="宋体" w:cs="宋体"/>
                <w:bCs/>
                <w:sz w:val="21"/>
                <w:szCs w:val="21"/>
              </w:rPr>
              <w:t>投标人根据产品特点及保养事项对采购人所使用设备人员提供设备操作及操作过程中注意事项等内容进行培训,包括拟派培训人员的安排、培训大纲、培训时间、培训人数等，并依据所提供的培训方案的科学性、合理性、针对性等因素进行评分（未提供相关内容的不得分）：</w:t>
            </w:r>
          </w:p>
          <w:p w14:paraId="6E45A821">
            <w:pPr>
              <w:keepNext w:val="0"/>
              <w:keepLines w:val="0"/>
              <w:suppressLineNumbers w:val="0"/>
              <w:spacing w:before="0" w:beforeAutospacing="0" w:after="0" w:afterAutospacing="0" w:line="360" w:lineRule="exact"/>
              <w:ind w:left="0" w:right="0" w:firstLine="424" w:firstLineChars="202"/>
              <w:rPr>
                <w:rFonts w:hint="eastAsia" w:ascii="宋体" w:hAnsi="宋体" w:eastAsia="宋体" w:cs="宋体"/>
                <w:bCs/>
                <w:sz w:val="21"/>
                <w:szCs w:val="21"/>
              </w:rPr>
            </w:pPr>
            <w:r>
              <w:rPr>
                <w:rFonts w:hint="eastAsia" w:ascii="宋体" w:hAnsi="宋体" w:eastAsia="宋体" w:cs="宋体"/>
                <w:bCs/>
                <w:sz w:val="21"/>
                <w:szCs w:val="21"/>
              </w:rPr>
              <w:t>一档（2分）：投标人针对本项目为采购人提供有培训课堂，但设备操作培训课程安排含糊，课程及培训内容安排有不明确之处。</w:t>
            </w:r>
          </w:p>
          <w:p w14:paraId="4F76F03C">
            <w:pPr>
              <w:keepNext w:val="0"/>
              <w:keepLines w:val="0"/>
              <w:suppressLineNumbers w:val="0"/>
              <w:spacing w:before="0" w:beforeAutospacing="0" w:after="0" w:afterAutospacing="0" w:line="360" w:lineRule="exact"/>
              <w:ind w:left="0" w:right="0" w:firstLine="424" w:firstLineChars="202"/>
              <w:rPr>
                <w:rFonts w:hint="eastAsia" w:ascii="宋体" w:hAnsi="宋体" w:eastAsia="宋体" w:cs="宋体"/>
                <w:bCs/>
                <w:sz w:val="21"/>
                <w:szCs w:val="21"/>
              </w:rPr>
            </w:pPr>
            <w:r>
              <w:rPr>
                <w:rFonts w:hint="eastAsia" w:ascii="宋体" w:hAnsi="宋体" w:eastAsia="宋体" w:cs="宋体"/>
                <w:bCs/>
                <w:sz w:val="21"/>
                <w:szCs w:val="21"/>
              </w:rPr>
              <w:t>二档（3分）：投标人针对本项目为采购人提供有专人指导（至少1名专职技术人员）以及针对使用人员对设备操作有课程安排以及培训内容安排，且安排培训场次达到2场以上，对设备的操作过程中注意事项有粗糙的操作指引。</w:t>
            </w:r>
          </w:p>
          <w:p w14:paraId="75D09024">
            <w:pPr>
              <w:keepNext w:val="0"/>
              <w:keepLines w:val="0"/>
              <w:suppressLineNumbers w:val="0"/>
              <w:spacing w:before="0" w:beforeAutospacing="0" w:after="0" w:afterAutospacing="0" w:line="360" w:lineRule="exact"/>
              <w:ind w:left="0" w:right="0" w:firstLine="424" w:firstLineChars="202"/>
              <w:rPr>
                <w:rFonts w:hint="eastAsia" w:ascii="宋体" w:hAnsi="宋体" w:eastAsia="宋体" w:cs="宋体"/>
                <w:b/>
                <w:bCs/>
                <w:sz w:val="21"/>
                <w:szCs w:val="21"/>
              </w:rPr>
            </w:pPr>
            <w:r>
              <w:rPr>
                <w:rFonts w:hint="eastAsia" w:ascii="宋体" w:hAnsi="宋体" w:eastAsia="宋体" w:cs="宋体"/>
                <w:bCs/>
                <w:sz w:val="21"/>
                <w:szCs w:val="21"/>
              </w:rPr>
              <w:t>三档（5分）：投标人针对本项目为采购人提供有专人指导（至少2名专职技术人员），针对使用人员对设备操作有明确课程安排以及详细的培训内容安排，且安排培训场次达到3场以上，对设备的操作过程中注意事项有详细指引。</w:t>
            </w:r>
          </w:p>
        </w:tc>
      </w:tr>
      <w:tr w14:paraId="385A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14:paraId="3B7D048B">
            <w:pPr>
              <w:pStyle w:val="15"/>
              <w:keepNext w:val="0"/>
              <w:keepLines w:val="0"/>
              <w:suppressLineNumbers w:val="0"/>
              <w:spacing w:before="0" w:beforeAutospacing="0" w:after="0" w:afterAutospacing="0" w:line="360" w:lineRule="auto"/>
              <w:ind w:left="0" w:right="0" w:firstLine="420"/>
              <w:rPr>
                <w:rFonts w:hint="eastAsia" w:ascii="宋体" w:hAnsi="宋体" w:eastAsia="宋体" w:cs="宋体"/>
                <w:bCs/>
                <w:kern w:val="2"/>
                <w:sz w:val="21"/>
                <w:szCs w:val="21"/>
              </w:rPr>
            </w:pPr>
            <w:r>
              <w:rPr>
                <w:rFonts w:hint="eastAsia" w:ascii="宋体" w:hAnsi="宋体" w:eastAsia="宋体" w:cs="宋体"/>
                <w:b/>
                <w:bCs/>
                <w:kern w:val="2"/>
                <w:sz w:val="21"/>
                <w:szCs w:val="21"/>
              </w:rPr>
              <w:t>总得分=1+2+3。</w:t>
            </w:r>
          </w:p>
        </w:tc>
      </w:tr>
    </w:tbl>
    <w:p w14:paraId="620D40B5">
      <w:pPr>
        <w:spacing w:beforeLines="50" w:afterLines="50" w:line="360" w:lineRule="auto"/>
        <w:outlineLvl w:val="1"/>
        <w:rPr>
          <w:b/>
          <w:bCs/>
          <w:sz w:val="32"/>
          <w:szCs w:val="32"/>
        </w:rPr>
        <w:sectPr>
          <w:footerReference r:id="rId12" w:type="first"/>
          <w:footerReference r:id="rId11" w:type="default"/>
          <w:pgSz w:w="11906" w:h="16838"/>
          <w:pgMar w:top="1134" w:right="1247" w:bottom="1560" w:left="1247" w:header="851" w:footer="992" w:gutter="0"/>
          <w:cols w:space="720" w:num="1"/>
          <w:titlePg/>
          <w:docGrid w:linePitch="312" w:charSpace="0"/>
        </w:sectPr>
      </w:pPr>
      <w:r>
        <w:rPr>
          <w:rFonts w:hint="eastAsia" w:hAnsi="宋体"/>
          <w:bCs/>
        </w:rPr>
        <w:t>注：计分方法按四舍五入取至百分位。</w:t>
      </w:r>
    </w:p>
    <w:p w14:paraId="533027ED">
      <w:pPr>
        <w:spacing w:beforeLines="50" w:afterLines="50" w:line="360" w:lineRule="auto"/>
        <w:jc w:val="center"/>
        <w:outlineLvl w:val="1"/>
        <w:rPr>
          <w:b/>
          <w:bCs/>
          <w:sz w:val="32"/>
          <w:szCs w:val="32"/>
        </w:rPr>
      </w:pPr>
    </w:p>
    <w:bookmarkEnd w:id="136"/>
    <w:p w14:paraId="42D7BDE9">
      <w:pPr>
        <w:keepNext/>
        <w:keepLines/>
        <w:spacing w:before="260" w:after="260" w:line="413" w:lineRule="auto"/>
        <w:contextualSpacing/>
        <w:jc w:val="center"/>
        <w:outlineLvl w:val="1"/>
        <w:rPr>
          <w:rFonts w:ascii="宋体" w:hAnsi="宋体"/>
          <w:b/>
          <w:bCs/>
          <w:sz w:val="24"/>
        </w:rPr>
      </w:pPr>
      <w:bookmarkStart w:id="137" w:name="_Toc21995"/>
      <w:bookmarkStart w:id="138" w:name="_Toc28000"/>
      <w:r>
        <w:rPr>
          <w:rFonts w:hint="eastAsia" w:ascii="Arial" w:hAnsi="Arial" w:eastAsia="黑体"/>
          <w:bCs/>
          <w:sz w:val="30"/>
          <w:szCs w:val="30"/>
        </w:rPr>
        <w:t>第四节中标候选人推荐原则</w:t>
      </w:r>
      <w:bookmarkEnd w:id="137"/>
      <w:bookmarkEnd w:id="138"/>
    </w:p>
    <w:p w14:paraId="0440EC59">
      <w:pPr>
        <w:spacing w:line="360" w:lineRule="auto"/>
        <w:ind w:firstLine="420" w:firstLineChars="200"/>
        <w:rPr>
          <w:rFonts w:ascii="宋体" w:hAnsi="宋体"/>
          <w:szCs w:val="20"/>
        </w:rPr>
      </w:pPr>
      <w:r>
        <w:rPr>
          <w:rFonts w:hint="eastAsia" w:ascii="宋体" w:hAnsi="宋体"/>
          <w:szCs w:val="20"/>
        </w:rPr>
        <w:t>1.评标委员会根据原始评标记录和评标结果编写评标报告，并通过电子交易平台向采购人、采购代理机构提交。</w:t>
      </w:r>
    </w:p>
    <w:p w14:paraId="7BD51B38">
      <w:pPr>
        <w:spacing w:line="360" w:lineRule="auto"/>
        <w:ind w:firstLine="420" w:firstLineChars="200"/>
        <w:rPr>
          <w:rFonts w:hint="eastAsia" w:ascii="宋体" w:hAnsi="宋体"/>
          <w:szCs w:val="20"/>
        </w:rPr>
      </w:pPr>
      <w:r>
        <w:rPr>
          <w:rFonts w:hint="eastAsia" w:ascii="宋体" w:hAnsi="宋体"/>
          <w:szCs w:val="20"/>
        </w:rPr>
        <w:t>2.评标委员会将根据得分由高到低排列次序（得分相同时，以投标报价由低到高顺序排列；得分相同且投标报价相同的，按技术、商务、政策功能得分高低顺序排列）并推荐三名中标候选供应商。招标采购人应当确定评审委员会推荐排名第一的中标候选人为中标人。排名第一的中标候选人放弃中标、因不可抗力提出不能履行合同，或者招标文件规定应当提交履约保证金而在规定的期限内未能提交的，招标采购人可以确定排名第二的中标候选人为中标人。排名第二的中标候选人因前款规定的同样原因不能签订合同的，招标采购人可以确定排名第三的中标候选人为中标人。</w:t>
      </w:r>
    </w:p>
    <w:p w14:paraId="08AE1124">
      <w:pPr>
        <w:spacing w:line="360" w:lineRule="auto"/>
        <w:ind w:firstLine="422" w:firstLineChars="200"/>
        <w:rPr>
          <w:rFonts w:hint="default" w:ascii="宋体" w:hAnsi="宋体" w:eastAsia="宋体"/>
          <w:szCs w:val="20"/>
          <w:lang w:val="en-US" w:eastAsia="zh-CN"/>
        </w:rPr>
      </w:pPr>
      <w:r>
        <w:rPr>
          <w:rFonts w:hint="eastAsia" w:ascii="宋体" w:hAnsi="宋体"/>
          <w:b/>
          <w:bCs/>
          <w:szCs w:val="20"/>
          <w:lang w:val="en-US" w:eastAsia="zh-CN"/>
        </w:rPr>
        <w:t>3.投标人可以针对一个或者多个分标进行投标，标项一至标项三兼投不兼中，只能成为一个分标的第一中标候选人，其他分标不再成为中标候选人，标项一至标项三的推荐顺序按照标项一→标项二→标项三进行推荐。</w:t>
      </w:r>
    </w:p>
    <w:p w14:paraId="0AE7E3F2">
      <w:pPr>
        <w:tabs>
          <w:tab w:val="left" w:pos="2472"/>
        </w:tabs>
        <w:spacing w:line="480" w:lineRule="exact"/>
        <w:ind w:firstLine="420" w:firstLineChars="200"/>
        <w:rPr>
          <w:rFonts w:ascii="宋体" w:hAnsi="Courier New"/>
          <w:szCs w:val="20"/>
        </w:rPr>
      </w:pPr>
    </w:p>
    <w:p w14:paraId="7ABD33E9">
      <w:pPr>
        <w:tabs>
          <w:tab w:val="left" w:pos="2472"/>
        </w:tabs>
        <w:spacing w:line="360" w:lineRule="auto"/>
        <w:ind w:firstLine="420" w:firstLineChars="200"/>
        <w:rPr>
          <w:rFonts w:hAnsi="宋体"/>
        </w:rPr>
      </w:pPr>
      <w:r>
        <w:rPr>
          <w:rFonts w:hint="eastAsia" w:ascii="宋体" w:hAnsi="宋体"/>
          <w:szCs w:val="20"/>
        </w:rPr>
        <w:br w:type="page"/>
      </w:r>
    </w:p>
    <w:p w14:paraId="05E3C827">
      <w:pPr>
        <w:pStyle w:val="4"/>
        <w:keepNext w:val="0"/>
        <w:keepLines w:val="0"/>
        <w:jc w:val="center"/>
      </w:pPr>
      <w:bookmarkStart w:id="139" w:name="_Toc13755"/>
      <w:bookmarkStart w:id="140" w:name="_Toc6006"/>
      <w:r>
        <w:rPr>
          <w:rFonts w:hint="eastAsia"/>
        </w:rPr>
        <w:t>第五章拟签订的合同文本</w:t>
      </w:r>
      <w:bookmarkEnd w:id="139"/>
      <w:bookmarkEnd w:id="140"/>
    </w:p>
    <w:p w14:paraId="7A2D22F8">
      <w:pPr>
        <w:spacing w:line="840" w:lineRule="exact"/>
        <w:ind w:firstLine="420"/>
        <w:jc w:val="center"/>
        <w:rPr>
          <w:rFonts w:ascii="黑体" w:hAnsi="Courier New" w:eastAsia="黑体"/>
          <w:b/>
          <w:bCs/>
          <w:sz w:val="72"/>
          <w:szCs w:val="20"/>
        </w:rPr>
      </w:pPr>
    </w:p>
    <w:p w14:paraId="663693A3">
      <w:pPr>
        <w:spacing w:line="840" w:lineRule="exact"/>
        <w:ind w:firstLine="420"/>
        <w:jc w:val="center"/>
        <w:rPr>
          <w:rFonts w:ascii="黑体" w:hAnsi="Courier New" w:eastAsia="黑体"/>
          <w:b/>
          <w:bCs/>
          <w:sz w:val="72"/>
          <w:szCs w:val="20"/>
        </w:rPr>
      </w:pPr>
    </w:p>
    <w:p w14:paraId="6834EEF1">
      <w:pPr>
        <w:spacing w:line="840" w:lineRule="exact"/>
        <w:ind w:firstLine="420"/>
        <w:jc w:val="center"/>
        <w:rPr>
          <w:rFonts w:ascii="黑体" w:hAnsi="Courier New" w:eastAsia="黑体"/>
          <w:b/>
          <w:bCs/>
          <w:sz w:val="72"/>
          <w:szCs w:val="20"/>
        </w:rPr>
      </w:pPr>
    </w:p>
    <w:p w14:paraId="4C924023">
      <w:pPr>
        <w:spacing w:line="840" w:lineRule="exact"/>
        <w:jc w:val="center"/>
        <w:rPr>
          <w:rFonts w:ascii="黑体" w:hAnsi="Courier New" w:eastAsia="黑体"/>
          <w:b/>
          <w:bCs/>
          <w:sz w:val="72"/>
          <w:szCs w:val="20"/>
        </w:rPr>
      </w:pPr>
      <w:r>
        <w:rPr>
          <w:rFonts w:ascii="黑体" w:hAnsi="Courier New" w:eastAsia="黑体"/>
          <w:b/>
          <w:bCs/>
          <w:sz w:val="72"/>
          <w:szCs w:val="20"/>
        </w:rPr>
        <w:t>采购合同</w:t>
      </w:r>
    </w:p>
    <w:p w14:paraId="046C50FD">
      <w:pPr>
        <w:spacing w:line="340" w:lineRule="exact"/>
        <w:ind w:firstLine="420"/>
        <w:rPr>
          <w:rFonts w:ascii="黑体" w:hAnsi="Courier New" w:eastAsia="黑体"/>
          <w:szCs w:val="20"/>
        </w:rPr>
      </w:pPr>
    </w:p>
    <w:p w14:paraId="7C152E8F">
      <w:pPr>
        <w:spacing w:line="340" w:lineRule="exact"/>
        <w:ind w:firstLine="420"/>
        <w:rPr>
          <w:rFonts w:ascii="宋体" w:hAnsi="Courier New"/>
          <w:szCs w:val="20"/>
        </w:rPr>
      </w:pPr>
    </w:p>
    <w:p w14:paraId="4C0DD3B1">
      <w:pPr>
        <w:spacing w:line="340" w:lineRule="exact"/>
        <w:ind w:firstLine="420"/>
        <w:rPr>
          <w:rFonts w:ascii="宋体" w:hAnsi="Courier New"/>
          <w:szCs w:val="20"/>
        </w:rPr>
      </w:pPr>
    </w:p>
    <w:p w14:paraId="7631BA49">
      <w:pPr>
        <w:spacing w:line="340" w:lineRule="exact"/>
        <w:ind w:firstLine="420"/>
        <w:rPr>
          <w:rFonts w:ascii="宋体" w:hAnsi="Courier New"/>
          <w:szCs w:val="20"/>
        </w:rPr>
      </w:pPr>
    </w:p>
    <w:p w14:paraId="32B79D7D">
      <w:pPr>
        <w:spacing w:line="340" w:lineRule="exact"/>
        <w:ind w:firstLine="420"/>
        <w:rPr>
          <w:rFonts w:ascii="宋体" w:hAnsi="Courier New"/>
          <w:szCs w:val="20"/>
        </w:rPr>
      </w:pPr>
    </w:p>
    <w:p w14:paraId="3FE5E605">
      <w:pPr>
        <w:spacing w:line="340" w:lineRule="exact"/>
        <w:ind w:firstLine="420"/>
        <w:rPr>
          <w:rFonts w:ascii="宋体" w:hAnsi="Courier New"/>
          <w:szCs w:val="20"/>
        </w:rPr>
      </w:pPr>
    </w:p>
    <w:p w14:paraId="11A47B98">
      <w:pPr>
        <w:spacing w:line="340" w:lineRule="exact"/>
        <w:ind w:firstLine="420"/>
        <w:rPr>
          <w:rFonts w:ascii="宋体" w:hAnsi="Courier New"/>
          <w:szCs w:val="20"/>
        </w:rPr>
      </w:pPr>
    </w:p>
    <w:p w14:paraId="5B9F5B71">
      <w:pPr>
        <w:spacing w:line="340" w:lineRule="exact"/>
        <w:ind w:firstLine="420"/>
        <w:rPr>
          <w:rFonts w:ascii="宋体" w:hAnsi="Courier New"/>
          <w:szCs w:val="20"/>
        </w:rPr>
      </w:pPr>
    </w:p>
    <w:p w14:paraId="0F6FCB71">
      <w:pPr>
        <w:spacing w:line="340" w:lineRule="exact"/>
        <w:rPr>
          <w:rFonts w:ascii="宋体" w:hAnsi="Courier New"/>
          <w:szCs w:val="20"/>
        </w:rPr>
      </w:pPr>
    </w:p>
    <w:p w14:paraId="76D88E25">
      <w:pPr>
        <w:ind w:firstLine="843" w:firstLineChars="300"/>
        <w:rPr>
          <w:rFonts w:ascii="宋体" w:hAnsi="Courier New"/>
          <w:b/>
          <w:sz w:val="28"/>
          <w:szCs w:val="28"/>
        </w:rPr>
      </w:pPr>
    </w:p>
    <w:p w14:paraId="04436CC3">
      <w:pPr>
        <w:spacing w:line="500" w:lineRule="exact"/>
        <w:ind w:firstLine="1417" w:firstLineChars="504"/>
        <w:rPr>
          <w:b/>
          <w:sz w:val="28"/>
          <w:szCs w:val="28"/>
        </w:rPr>
      </w:pPr>
      <w:r>
        <w:rPr>
          <w:rFonts w:hint="eastAsia"/>
          <w:b/>
          <w:sz w:val="28"/>
          <w:szCs w:val="28"/>
        </w:rPr>
        <w:t>项目</w:t>
      </w:r>
      <w:r>
        <w:rPr>
          <w:b/>
          <w:sz w:val="28"/>
          <w:szCs w:val="28"/>
        </w:rPr>
        <w:t>名称：</w:t>
      </w:r>
    </w:p>
    <w:p w14:paraId="28CFCD20">
      <w:pPr>
        <w:spacing w:line="500" w:lineRule="exact"/>
        <w:ind w:firstLine="1417" w:firstLineChars="504"/>
        <w:rPr>
          <w:b/>
          <w:sz w:val="28"/>
          <w:szCs w:val="28"/>
        </w:rPr>
      </w:pPr>
      <w:r>
        <w:rPr>
          <w:rFonts w:hint="eastAsia"/>
          <w:b/>
          <w:sz w:val="28"/>
          <w:szCs w:val="28"/>
        </w:rPr>
        <w:t>项目</w:t>
      </w:r>
      <w:r>
        <w:rPr>
          <w:b/>
          <w:sz w:val="28"/>
          <w:szCs w:val="28"/>
        </w:rPr>
        <w:t>编号：</w:t>
      </w:r>
    </w:p>
    <w:p w14:paraId="590D8495">
      <w:pPr>
        <w:spacing w:line="500" w:lineRule="exact"/>
        <w:ind w:firstLine="1417" w:firstLineChars="504"/>
        <w:rPr>
          <w:rFonts w:ascii="宋体" w:hAnsi="Courier New"/>
          <w:b/>
          <w:sz w:val="28"/>
          <w:szCs w:val="28"/>
        </w:rPr>
      </w:pPr>
      <w:r>
        <w:rPr>
          <w:rFonts w:hint="eastAsia" w:ascii="宋体" w:hAnsi="Courier New"/>
          <w:b/>
          <w:sz w:val="28"/>
          <w:szCs w:val="28"/>
        </w:rPr>
        <w:t>采购人</w:t>
      </w:r>
      <w:r>
        <w:rPr>
          <w:rFonts w:ascii="宋体" w:hAnsi="Courier New"/>
          <w:b/>
          <w:sz w:val="28"/>
          <w:szCs w:val="28"/>
        </w:rPr>
        <w:t>（甲方）：</w:t>
      </w:r>
      <w:r>
        <w:rPr>
          <w:rFonts w:hint="eastAsia" w:ascii="宋体" w:hAnsi="Courier New"/>
          <w:b/>
          <w:sz w:val="28"/>
          <w:szCs w:val="28"/>
        </w:rPr>
        <w:t>广西师范大学</w:t>
      </w:r>
    </w:p>
    <w:p w14:paraId="49A72CC4">
      <w:pPr>
        <w:spacing w:line="500" w:lineRule="exact"/>
        <w:ind w:firstLine="1417" w:firstLineChars="504"/>
        <w:rPr>
          <w:rFonts w:ascii="宋体" w:hAnsi="Courier New"/>
          <w:b/>
          <w:sz w:val="28"/>
          <w:szCs w:val="28"/>
        </w:rPr>
      </w:pPr>
      <w:r>
        <w:rPr>
          <w:rFonts w:hint="eastAsia" w:ascii="宋体" w:hAnsi="Courier New"/>
          <w:b/>
          <w:sz w:val="28"/>
          <w:szCs w:val="28"/>
        </w:rPr>
        <w:t>供应商</w:t>
      </w:r>
      <w:r>
        <w:rPr>
          <w:rFonts w:ascii="宋体" w:hAnsi="Courier New"/>
          <w:b/>
          <w:sz w:val="28"/>
          <w:szCs w:val="28"/>
        </w:rPr>
        <w:t>（乙方）：</w:t>
      </w:r>
    </w:p>
    <w:p w14:paraId="04E63383">
      <w:pPr>
        <w:spacing w:line="500" w:lineRule="exact"/>
        <w:ind w:firstLine="1417" w:firstLineChars="504"/>
        <w:rPr>
          <w:rFonts w:ascii="宋体" w:hAnsi="Courier New"/>
          <w:b/>
          <w:sz w:val="28"/>
          <w:szCs w:val="28"/>
        </w:rPr>
      </w:pPr>
      <w:r>
        <w:rPr>
          <w:rFonts w:ascii="宋体" w:hAnsi="Courier New"/>
          <w:b/>
          <w:sz w:val="28"/>
          <w:szCs w:val="28"/>
        </w:rPr>
        <w:t>签订合同时间： 年   月   日</w:t>
      </w:r>
    </w:p>
    <w:p w14:paraId="288A6933">
      <w:pPr>
        <w:spacing w:line="340" w:lineRule="exact"/>
        <w:ind w:firstLine="420"/>
        <w:jc w:val="center"/>
        <w:rPr>
          <w:rFonts w:ascii="宋体" w:hAnsi="Courier New"/>
          <w:sz w:val="28"/>
          <w:szCs w:val="28"/>
        </w:rPr>
      </w:pPr>
    </w:p>
    <w:p w14:paraId="472D4FA2">
      <w:pPr>
        <w:jc w:val="center"/>
        <w:rPr>
          <w:rFonts w:ascii="宋体" w:hAnsi="宋体" w:cs="宋体"/>
          <w:b/>
          <w:sz w:val="44"/>
          <w:szCs w:val="44"/>
        </w:rPr>
      </w:pPr>
      <w:r>
        <w:rPr>
          <w:rFonts w:ascii="宋体" w:hAnsi="Courier New"/>
          <w:szCs w:val="20"/>
        </w:rPr>
        <w:br w:type="page"/>
      </w:r>
      <w:r>
        <w:rPr>
          <w:rFonts w:hint="eastAsia" w:ascii="宋体" w:hAnsi="宋体" w:cs="宋体"/>
          <w:b/>
          <w:spacing w:val="222"/>
          <w:kern w:val="0"/>
          <w:sz w:val="44"/>
          <w:szCs w:val="44"/>
          <w:fitText w:val="1989" w:id="1685864313"/>
        </w:rPr>
        <w:t xml:space="preserve">目 </w:t>
      </w:r>
      <w:r>
        <w:rPr>
          <w:rFonts w:hint="eastAsia" w:ascii="宋体" w:hAnsi="宋体" w:cs="宋体"/>
          <w:b/>
          <w:spacing w:val="0"/>
          <w:kern w:val="0"/>
          <w:sz w:val="44"/>
          <w:szCs w:val="44"/>
          <w:fitText w:val="1989" w:id="1685864313"/>
        </w:rPr>
        <w:t>录</w:t>
      </w:r>
    </w:p>
    <w:p w14:paraId="2F886D3B">
      <w:pPr>
        <w:spacing w:line="360" w:lineRule="auto"/>
        <w:ind w:firstLine="3607" w:firstLineChars="642"/>
        <w:rPr>
          <w:rFonts w:ascii="宋体" w:hAnsi="宋体" w:cs="宋体"/>
          <w:b/>
          <w:spacing w:val="40"/>
          <w:sz w:val="48"/>
          <w:szCs w:val="48"/>
        </w:rPr>
      </w:pPr>
    </w:p>
    <w:p w14:paraId="0A206AC1">
      <w:pPr>
        <w:pStyle w:val="15"/>
        <w:wordWrap w:val="0"/>
        <w:snapToGrid w:val="0"/>
        <w:spacing w:line="360" w:lineRule="auto"/>
        <w:ind w:left="420" w:leftChars="200"/>
        <w:rPr>
          <w:rFonts w:hint="eastAsia" w:hAnsi="宋体"/>
          <w:b/>
          <w:bCs/>
          <w:sz w:val="36"/>
          <w:szCs w:val="36"/>
        </w:rPr>
      </w:pPr>
      <w:r>
        <w:rPr>
          <w:rFonts w:hint="eastAsia" w:hAnsi="宋体"/>
          <w:b/>
          <w:bCs/>
          <w:sz w:val="36"/>
          <w:szCs w:val="36"/>
        </w:rPr>
        <w:t>1.招标文件；</w:t>
      </w:r>
    </w:p>
    <w:p w14:paraId="0CA1656C">
      <w:pPr>
        <w:pStyle w:val="15"/>
        <w:wordWrap w:val="0"/>
        <w:snapToGrid w:val="0"/>
        <w:spacing w:line="360" w:lineRule="auto"/>
        <w:ind w:left="420" w:leftChars="200"/>
        <w:rPr>
          <w:rFonts w:hint="eastAsia" w:hAnsi="宋体"/>
          <w:b/>
          <w:bCs/>
          <w:sz w:val="36"/>
          <w:szCs w:val="36"/>
        </w:rPr>
      </w:pPr>
      <w:r>
        <w:rPr>
          <w:rFonts w:hint="eastAsia" w:hAnsi="宋体"/>
          <w:b/>
          <w:bCs/>
          <w:sz w:val="36"/>
          <w:szCs w:val="36"/>
        </w:rPr>
        <w:t>2.投标函、开标一览表；</w:t>
      </w:r>
    </w:p>
    <w:p w14:paraId="777BD706">
      <w:pPr>
        <w:pStyle w:val="15"/>
        <w:wordWrap w:val="0"/>
        <w:snapToGrid w:val="0"/>
        <w:spacing w:line="360" w:lineRule="auto"/>
        <w:ind w:left="420" w:leftChars="200"/>
        <w:rPr>
          <w:rFonts w:hint="eastAsia" w:hAnsi="宋体"/>
          <w:b/>
          <w:bCs/>
          <w:sz w:val="36"/>
          <w:szCs w:val="36"/>
        </w:rPr>
      </w:pPr>
      <w:r>
        <w:rPr>
          <w:rFonts w:hint="eastAsia" w:hAnsi="宋体"/>
          <w:b/>
          <w:bCs/>
          <w:sz w:val="36"/>
          <w:szCs w:val="36"/>
        </w:rPr>
        <w:t>3.商务条款偏离表；</w:t>
      </w:r>
    </w:p>
    <w:p w14:paraId="5298E03A">
      <w:pPr>
        <w:pStyle w:val="15"/>
        <w:wordWrap w:val="0"/>
        <w:snapToGrid w:val="0"/>
        <w:spacing w:line="360" w:lineRule="auto"/>
        <w:ind w:left="420" w:leftChars="200"/>
        <w:rPr>
          <w:rFonts w:hint="eastAsia" w:hAnsi="宋体"/>
          <w:b/>
          <w:bCs/>
          <w:sz w:val="36"/>
          <w:szCs w:val="36"/>
        </w:rPr>
      </w:pPr>
      <w:r>
        <w:rPr>
          <w:rFonts w:hint="eastAsia" w:hAnsi="宋体"/>
          <w:b/>
          <w:bCs/>
          <w:sz w:val="36"/>
          <w:szCs w:val="36"/>
        </w:rPr>
        <w:t>4.技术偏离表；</w:t>
      </w:r>
    </w:p>
    <w:p w14:paraId="17F27D6A">
      <w:pPr>
        <w:pStyle w:val="15"/>
        <w:wordWrap w:val="0"/>
        <w:snapToGrid w:val="0"/>
        <w:spacing w:line="360" w:lineRule="auto"/>
        <w:ind w:left="420" w:leftChars="200"/>
        <w:rPr>
          <w:rFonts w:hint="eastAsia" w:hAnsi="宋体"/>
          <w:b/>
          <w:bCs/>
          <w:sz w:val="36"/>
          <w:szCs w:val="36"/>
        </w:rPr>
      </w:pPr>
      <w:r>
        <w:rPr>
          <w:rFonts w:hint="eastAsia" w:hAnsi="宋体"/>
          <w:b/>
          <w:bCs/>
          <w:sz w:val="36"/>
          <w:szCs w:val="36"/>
        </w:rPr>
        <w:t>5.中标通知书；</w:t>
      </w:r>
    </w:p>
    <w:p w14:paraId="416C40BC">
      <w:pPr>
        <w:pStyle w:val="15"/>
        <w:wordWrap w:val="0"/>
        <w:snapToGrid w:val="0"/>
        <w:spacing w:line="360" w:lineRule="auto"/>
        <w:ind w:left="420" w:leftChars="200"/>
        <w:rPr>
          <w:rFonts w:hAnsi="宋体"/>
          <w:b/>
          <w:bCs/>
          <w:sz w:val="36"/>
          <w:szCs w:val="36"/>
        </w:rPr>
      </w:pPr>
      <w:r>
        <w:rPr>
          <w:rFonts w:hint="eastAsia" w:hAnsi="宋体"/>
          <w:b/>
          <w:bCs/>
          <w:sz w:val="36"/>
          <w:szCs w:val="36"/>
        </w:rPr>
        <w:t>6.履约保证金（附中小企业声明函）（如有）。</w:t>
      </w:r>
    </w:p>
    <w:p w14:paraId="2C24C8DD">
      <w:pPr>
        <w:snapToGrid w:val="0"/>
        <w:jc w:val="center"/>
        <w:rPr>
          <w:rFonts w:ascii="宋体" w:hAnsi="宋体"/>
          <w:bCs/>
          <w:sz w:val="32"/>
          <w:szCs w:val="32"/>
        </w:rPr>
      </w:pPr>
    </w:p>
    <w:p w14:paraId="7D67071D">
      <w:pPr>
        <w:snapToGrid w:val="0"/>
        <w:jc w:val="center"/>
        <w:rPr>
          <w:rFonts w:ascii="宋体" w:hAnsi="宋体"/>
          <w:bCs/>
          <w:sz w:val="32"/>
          <w:szCs w:val="32"/>
        </w:rPr>
      </w:pPr>
    </w:p>
    <w:p w14:paraId="685C23EF">
      <w:pPr>
        <w:snapToGrid w:val="0"/>
        <w:jc w:val="center"/>
        <w:rPr>
          <w:rFonts w:ascii="宋体" w:hAnsi="宋体"/>
          <w:bCs/>
          <w:sz w:val="32"/>
          <w:szCs w:val="32"/>
        </w:rPr>
      </w:pPr>
    </w:p>
    <w:p w14:paraId="44BDDCC5">
      <w:pPr>
        <w:snapToGrid w:val="0"/>
        <w:jc w:val="center"/>
        <w:rPr>
          <w:rFonts w:ascii="宋体" w:hAnsi="宋体"/>
          <w:bCs/>
          <w:sz w:val="32"/>
          <w:szCs w:val="32"/>
        </w:rPr>
      </w:pPr>
    </w:p>
    <w:p w14:paraId="4C6BA481">
      <w:pPr>
        <w:snapToGrid w:val="0"/>
        <w:jc w:val="center"/>
        <w:rPr>
          <w:rFonts w:ascii="宋体" w:hAnsi="宋体"/>
          <w:bCs/>
          <w:sz w:val="32"/>
          <w:szCs w:val="32"/>
        </w:rPr>
      </w:pPr>
    </w:p>
    <w:p w14:paraId="5D15B6C0">
      <w:pPr>
        <w:snapToGrid w:val="0"/>
        <w:jc w:val="center"/>
        <w:rPr>
          <w:rFonts w:ascii="宋体" w:hAnsi="宋体"/>
          <w:bCs/>
          <w:sz w:val="32"/>
          <w:szCs w:val="32"/>
        </w:rPr>
      </w:pPr>
    </w:p>
    <w:p w14:paraId="4E33FDA2">
      <w:pPr>
        <w:snapToGrid w:val="0"/>
        <w:jc w:val="center"/>
        <w:rPr>
          <w:rFonts w:ascii="宋体" w:hAnsi="宋体"/>
          <w:bCs/>
          <w:sz w:val="32"/>
          <w:szCs w:val="32"/>
        </w:rPr>
      </w:pPr>
    </w:p>
    <w:p w14:paraId="2DF284FA">
      <w:pPr>
        <w:snapToGrid w:val="0"/>
        <w:jc w:val="center"/>
        <w:rPr>
          <w:rFonts w:ascii="宋体" w:hAnsi="宋体"/>
          <w:bCs/>
          <w:sz w:val="32"/>
          <w:szCs w:val="32"/>
        </w:rPr>
      </w:pPr>
    </w:p>
    <w:p w14:paraId="26C76206">
      <w:pPr>
        <w:snapToGrid w:val="0"/>
        <w:jc w:val="center"/>
        <w:rPr>
          <w:rFonts w:ascii="宋体" w:hAnsi="宋体"/>
          <w:bCs/>
          <w:sz w:val="32"/>
          <w:szCs w:val="32"/>
        </w:rPr>
      </w:pPr>
    </w:p>
    <w:p w14:paraId="2291CF47">
      <w:pPr>
        <w:snapToGrid w:val="0"/>
        <w:jc w:val="center"/>
        <w:rPr>
          <w:rFonts w:ascii="宋体" w:hAnsi="宋体"/>
          <w:bCs/>
          <w:sz w:val="32"/>
          <w:szCs w:val="32"/>
        </w:rPr>
      </w:pPr>
    </w:p>
    <w:p w14:paraId="2E84E148">
      <w:pPr>
        <w:snapToGrid w:val="0"/>
        <w:jc w:val="center"/>
        <w:rPr>
          <w:rFonts w:ascii="宋体" w:hAnsi="宋体"/>
          <w:bCs/>
          <w:sz w:val="32"/>
          <w:szCs w:val="32"/>
        </w:rPr>
      </w:pPr>
    </w:p>
    <w:p w14:paraId="18B7E405">
      <w:pPr>
        <w:snapToGrid w:val="0"/>
        <w:jc w:val="center"/>
        <w:rPr>
          <w:rFonts w:ascii="宋体" w:hAnsi="宋体"/>
          <w:bCs/>
          <w:sz w:val="32"/>
          <w:szCs w:val="32"/>
        </w:rPr>
      </w:pPr>
    </w:p>
    <w:p w14:paraId="2A3E8375">
      <w:pPr>
        <w:snapToGrid w:val="0"/>
        <w:jc w:val="center"/>
        <w:rPr>
          <w:rFonts w:ascii="宋体" w:hAnsi="宋体"/>
          <w:bCs/>
          <w:sz w:val="32"/>
          <w:szCs w:val="32"/>
        </w:rPr>
      </w:pPr>
    </w:p>
    <w:p w14:paraId="24483B3E">
      <w:pPr>
        <w:snapToGrid w:val="0"/>
        <w:jc w:val="center"/>
        <w:rPr>
          <w:rFonts w:ascii="宋体" w:hAnsi="宋体"/>
          <w:bCs/>
          <w:sz w:val="32"/>
          <w:szCs w:val="32"/>
        </w:rPr>
      </w:pPr>
    </w:p>
    <w:p w14:paraId="51839379">
      <w:pPr>
        <w:jc w:val="center"/>
        <w:rPr>
          <w:rFonts w:ascii="宋体" w:hAnsi="宋体"/>
          <w:b/>
          <w:bCs/>
          <w:sz w:val="32"/>
          <w:szCs w:val="32"/>
        </w:rPr>
      </w:pPr>
      <w:r>
        <w:rPr>
          <w:rFonts w:ascii="宋体" w:hAnsi="宋体"/>
          <w:bCs/>
          <w:sz w:val="32"/>
          <w:szCs w:val="32"/>
        </w:rPr>
        <w:br w:type="page"/>
      </w:r>
      <w:bookmarkStart w:id="141" w:name="_Hlk55381736"/>
      <w:r>
        <w:rPr>
          <w:rFonts w:hint="eastAsia" w:ascii="宋体" w:hAnsi="宋体"/>
          <w:b/>
          <w:bCs/>
          <w:sz w:val="32"/>
          <w:szCs w:val="32"/>
        </w:rPr>
        <w:t>《广西壮族自治区政府采购合同》</w:t>
      </w:r>
      <w:r>
        <w:rPr>
          <w:rFonts w:hint="eastAsia" w:ascii="宋体" w:hAnsi="宋体"/>
          <w:b/>
          <w:sz w:val="32"/>
          <w:szCs w:val="32"/>
        </w:rPr>
        <w:t>文本</w:t>
      </w:r>
    </w:p>
    <w:p w14:paraId="52EBF416">
      <w:pPr>
        <w:snapToGrid w:val="0"/>
        <w:spacing w:line="400" w:lineRule="exact"/>
        <w:ind w:right="480" w:firstLine="5250" w:firstLineChars="2500"/>
        <w:rPr>
          <w:rFonts w:ascii="宋体" w:hAnsi="宋体"/>
          <w:bCs/>
          <w:szCs w:val="21"/>
        </w:rPr>
      </w:pPr>
    </w:p>
    <w:p w14:paraId="7E857555">
      <w:pPr>
        <w:snapToGrid w:val="0"/>
        <w:spacing w:line="440" w:lineRule="exact"/>
        <w:ind w:right="480" w:firstLine="6000" w:firstLineChars="2500"/>
        <w:rPr>
          <w:rFonts w:ascii="仿宋" w:hAnsi="仿宋" w:eastAsia="仿宋" w:cs="仿宋"/>
          <w:bCs/>
          <w:color w:val="000000"/>
          <w:sz w:val="24"/>
          <w:u w:val="single"/>
        </w:rPr>
      </w:pPr>
      <w:r>
        <w:rPr>
          <w:rFonts w:hint="eastAsia" w:ascii="仿宋" w:hAnsi="仿宋" w:eastAsia="仿宋" w:cs="仿宋"/>
          <w:bCs/>
          <w:color w:val="000000"/>
          <w:sz w:val="24"/>
        </w:rPr>
        <w:t>合同编号：</w:t>
      </w:r>
    </w:p>
    <w:p w14:paraId="424CC90F">
      <w:pPr>
        <w:snapToGrid w:val="0"/>
        <w:spacing w:line="440" w:lineRule="exact"/>
        <w:rPr>
          <w:rFonts w:ascii="仿宋" w:hAnsi="仿宋" w:eastAsia="仿宋" w:cs="仿宋"/>
          <w:color w:val="000000"/>
          <w:sz w:val="24"/>
        </w:rPr>
      </w:pPr>
    </w:p>
    <w:p w14:paraId="532F5CEC">
      <w:pPr>
        <w:snapToGrid w:val="0"/>
        <w:spacing w:before="120" w:beforeLines="50" w:line="400" w:lineRule="exact"/>
        <w:rPr>
          <w:rFonts w:cs="宋体"/>
          <w:b/>
          <w:bCs/>
          <w:color w:val="auto"/>
          <w:szCs w:val="21"/>
        </w:rPr>
      </w:pPr>
      <w:r>
        <w:rPr>
          <w:rFonts w:hint="eastAsia" w:cs="宋体"/>
          <w:b/>
          <w:bCs/>
          <w:color w:val="auto"/>
          <w:szCs w:val="21"/>
        </w:rPr>
        <w:t>采购人（甲方）：</w:t>
      </w:r>
      <w:r>
        <w:rPr>
          <w:rFonts w:hint="eastAsia" w:cs="宋体"/>
          <w:b/>
          <w:bCs/>
          <w:color w:val="auto"/>
          <w:szCs w:val="21"/>
          <w:u w:val="single"/>
        </w:rPr>
        <w:t xml:space="preserve">广西师范大学                         </w:t>
      </w:r>
      <w:r>
        <w:rPr>
          <w:rFonts w:hint="eastAsia" w:cs="宋体"/>
          <w:b/>
          <w:bCs/>
          <w:color w:val="auto"/>
          <w:szCs w:val="21"/>
        </w:rPr>
        <w:t>采购计划文号：</w:t>
      </w:r>
      <w:r>
        <w:rPr>
          <w:rFonts w:hint="eastAsia" w:cs="宋体"/>
          <w:b/>
          <w:bCs/>
          <w:color w:val="auto"/>
          <w:szCs w:val="21"/>
          <w:u w:val="single"/>
          <w:lang w:val="en-US" w:eastAsia="zh-CN"/>
        </w:rPr>
        <w:t xml:space="preserve">                      </w:t>
      </w:r>
      <w:r>
        <w:rPr>
          <w:rFonts w:hint="eastAsia" w:cs="宋体"/>
          <w:b/>
          <w:bCs/>
          <w:color w:val="auto"/>
          <w:szCs w:val="21"/>
          <w:u w:val="single"/>
        </w:rPr>
        <w:t xml:space="preserve"> </w:t>
      </w:r>
    </w:p>
    <w:p w14:paraId="6C63518C">
      <w:pPr>
        <w:snapToGrid w:val="0"/>
        <w:spacing w:line="400" w:lineRule="exact"/>
        <w:rPr>
          <w:rFonts w:cs="宋体"/>
          <w:b/>
          <w:bCs/>
          <w:color w:val="auto"/>
          <w:szCs w:val="21"/>
        </w:rPr>
      </w:pPr>
      <w:r>
        <w:rPr>
          <w:rFonts w:hint="eastAsia" w:cs="宋体"/>
          <w:b/>
          <w:bCs/>
          <w:color w:val="auto"/>
          <w:szCs w:val="21"/>
          <w:lang w:val="en-US" w:eastAsia="zh-CN"/>
        </w:rPr>
        <w:t>中标</w:t>
      </w:r>
      <w:r>
        <w:rPr>
          <w:rFonts w:hint="eastAsia" w:cs="宋体"/>
          <w:b/>
          <w:bCs/>
          <w:color w:val="auto"/>
          <w:szCs w:val="21"/>
        </w:rPr>
        <w:t>供应商（乙方）：</w:t>
      </w:r>
      <w:r>
        <w:rPr>
          <w:rFonts w:hint="eastAsia" w:cs="宋体"/>
          <w:b/>
          <w:bCs/>
          <w:color w:val="auto"/>
          <w:szCs w:val="21"/>
          <w:u w:val="single"/>
        </w:rPr>
        <w:t xml:space="preserve">                                 </w:t>
      </w:r>
      <w:r>
        <w:rPr>
          <w:rFonts w:hint="eastAsia" w:cs="宋体"/>
          <w:b/>
          <w:bCs/>
          <w:color w:val="auto"/>
          <w:szCs w:val="21"/>
        </w:rPr>
        <w:t>项目编号：</w:t>
      </w:r>
      <w:r>
        <w:rPr>
          <w:rFonts w:hint="eastAsia" w:cs="宋体"/>
          <w:b/>
          <w:bCs/>
          <w:color w:val="auto"/>
          <w:szCs w:val="21"/>
          <w:u w:val="single"/>
        </w:rPr>
        <w:t xml:space="preserve"> </w:t>
      </w:r>
      <w:r>
        <w:rPr>
          <w:rFonts w:hint="eastAsia" w:cs="宋体"/>
          <w:b/>
          <w:bCs/>
          <w:color w:val="auto"/>
          <w:szCs w:val="21"/>
          <w:u w:val="single"/>
          <w:lang w:val="en-US" w:eastAsia="zh-CN"/>
        </w:rPr>
        <w:t xml:space="preserve">                       </w:t>
      </w:r>
      <w:r>
        <w:rPr>
          <w:rFonts w:hint="eastAsia" w:cs="宋体"/>
          <w:b/>
          <w:bCs/>
          <w:color w:val="auto"/>
          <w:szCs w:val="21"/>
          <w:u w:val="single"/>
        </w:rPr>
        <w:t xml:space="preserve">   </w:t>
      </w:r>
    </w:p>
    <w:p w14:paraId="067F5B86">
      <w:pPr>
        <w:snapToGrid w:val="0"/>
        <w:spacing w:line="400" w:lineRule="exact"/>
        <w:rPr>
          <w:rFonts w:cs="宋体"/>
          <w:b/>
          <w:bCs/>
          <w:color w:val="auto"/>
          <w:szCs w:val="21"/>
        </w:rPr>
      </w:pPr>
      <w:r>
        <w:rPr>
          <w:rFonts w:hint="eastAsia" w:cs="宋体"/>
          <w:b/>
          <w:bCs/>
          <w:color w:val="auto"/>
          <w:szCs w:val="21"/>
        </w:rPr>
        <w:t>项目名称：</w:t>
      </w:r>
      <w:r>
        <w:rPr>
          <w:rFonts w:hint="eastAsia" w:cs="宋体"/>
          <w:b/>
          <w:bCs/>
          <w:color w:val="auto"/>
          <w:szCs w:val="21"/>
          <w:u w:val="single"/>
          <w:lang w:val="en-US" w:eastAsia="zh-CN"/>
        </w:rPr>
        <w:t xml:space="preserve">                                         </w:t>
      </w:r>
      <w:r>
        <w:rPr>
          <w:rFonts w:hint="eastAsia" w:cs="宋体"/>
          <w:b/>
          <w:bCs/>
          <w:color w:val="auto"/>
          <w:szCs w:val="21"/>
          <w:u w:val="single"/>
        </w:rPr>
        <w:t xml:space="preserve">  </w:t>
      </w:r>
    </w:p>
    <w:p w14:paraId="5AB027EB">
      <w:pPr>
        <w:snapToGrid w:val="0"/>
        <w:spacing w:line="400" w:lineRule="exact"/>
        <w:rPr>
          <w:rFonts w:cs="宋体"/>
          <w:b/>
          <w:bCs/>
          <w:color w:val="auto"/>
          <w:szCs w:val="21"/>
        </w:rPr>
      </w:pPr>
      <w:r>
        <w:rPr>
          <w:rFonts w:hint="eastAsia" w:cs="宋体"/>
          <w:b/>
          <w:bCs/>
          <w:color w:val="auto"/>
          <w:szCs w:val="21"/>
        </w:rPr>
        <w:t>签订地点：</w:t>
      </w:r>
      <w:r>
        <w:rPr>
          <w:rFonts w:hint="eastAsia" w:cs="宋体"/>
          <w:b/>
          <w:bCs/>
          <w:color w:val="auto"/>
          <w:szCs w:val="21"/>
          <w:u w:val="single"/>
        </w:rPr>
        <w:t xml:space="preserve">  广西桂林      </w:t>
      </w:r>
      <w:r>
        <w:rPr>
          <w:rFonts w:hint="eastAsia" w:cs="宋体"/>
          <w:b/>
          <w:bCs/>
          <w:color w:val="auto"/>
          <w:szCs w:val="21"/>
        </w:rPr>
        <w:t xml:space="preserve">                       </w:t>
      </w:r>
      <w:r>
        <w:rPr>
          <w:rFonts w:hint="eastAsia" w:cs="宋体"/>
          <w:b/>
          <w:bCs/>
          <w:color w:val="auto"/>
          <w:szCs w:val="21"/>
          <w:lang w:val="en-US" w:eastAsia="zh-CN"/>
        </w:rPr>
        <w:t xml:space="preserve"> </w:t>
      </w:r>
      <w:r>
        <w:rPr>
          <w:rFonts w:hint="eastAsia" w:cs="宋体"/>
          <w:b/>
          <w:bCs/>
          <w:color w:val="auto"/>
          <w:szCs w:val="21"/>
        </w:rPr>
        <w:t xml:space="preserve">   签订时间：</w:t>
      </w:r>
      <w:r>
        <w:rPr>
          <w:rFonts w:hint="eastAsia" w:cs="宋体"/>
          <w:b/>
          <w:bCs/>
          <w:color w:val="auto"/>
          <w:szCs w:val="21"/>
          <w:u w:val="single"/>
        </w:rPr>
        <w:t xml:space="preserve">      </w:t>
      </w:r>
      <w:r>
        <w:rPr>
          <w:rFonts w:hint="eastAsia" w:cs="宋体"/>
          <w:b/>
          <w:bCs/>
          <w:color w:val="auto"/>
          <w:szCs w:val="21"/>
          <w:u w:val="single"/>
          <w:lang w:val="en-US" w:eastAsia="zh-CN"/>
        </w:rPr>
        <w:t xml:space="preserve">           </w:t>
      </w:r>
      <w:r>
        <w:rPr>
          <w:rFonts w:hint="eastAsia" w:cs="宋体"/>
          <w:b/>
          <w:bCs/>
          <w:color w:val="auto"/>
          <w:szCs w:val="21"/>
          <w:u w:val="single"/>
        </w:rPr>
        <w:t xml:space="preserve">          </w:t>
      </w:r>
    </w:p>
    <w:p w14:paraId="2B3BE698">
      <w:pPr>
        <w:snapToGrid w:val="0"/>
        <w:spacing w:line="360" w:lineRule="auto"/>
        <w:ind w:firstLine="420" w:firstLineChars="200"/>
        <w:rPr>
          <w:rFonts w:cs="宋体"/>
          <w:color w:val="auto"/>
          <w:szCs w:val="21"/>
        </w:rPr>
      </w:pPr>
    </w:p>
    <w:p w14:paraId="761CD558">
      <w:pPr>
        <w:snapToGrid w:val="0"/>
        <w:spacing w:line="360" w:lineRule="exact"/>
        <w:ind w:firstLine="420" w:firstLineChars="200"/>
        <w:rPr>
          <w:color w:val="auto"/>
          <w:szCs w:val="21"/>
        </w:rPr>
      </w:pPr>
      <w:r>
        <w:rPr>
          <w:rFonts w:hint="eastAsia"/>
          <w:color w:val="auto"/>
          <w:szCs w:val="21"/>
        </w:rPr>
        <w:t>根据《中华人民共和国政府采购法》、</w:t>
      </w:r>
      <w:r>
        <w:rPr>
          <w:rFonts w:hint="eastAsia"/>
          <w:color w:val="auto"/>
        </w:rPr>
        <w:t>《中华人民共和国政府采购法实施条例》、</w:t>
      </w:r>
      <w:r>
        <w:rPr>
          <w:rFonts w:hint="eastAsia"/>
          <w:color w:val="auto"/>
          <w:szCs w:val="21"/>
        </w:rPr>
        <w:t>《</w:t>
      </w:r>
      <w:r>
        <w:rPr>
          <w:rFonts w:cs="Arial"/>
          <w:color w:val="auto"/>
          <w:szCs w:val="21"/>
          <w:shd w:val="clear" w:color="auto" w:fill="FFFFFF"/>
        </w:rPr>
        <w:t>中华人民共和国民法典</w:t>
      </w:r>
      <w:r>
        <w:rPr>
          <w:rFonts w:hint="eastAsia"/>
          <w:color w:val="auto"/>
          <w:szCs w:val="21"/>
        </w:rPr>
        <w:t>》等法律、法规规定，按照</w:t>
      </w:r>
      <w:r>
        <w:rPr>
          <w:rFonts w:hint="eastAsia"/>
          <w:color w:val="auto"/>
          <w:szCs w:val="21"/>
          <w:lang w:val="en-US" w:eastAsia="zh-CN"/>
        </w:rPr>
        <w:t>公开招标</w:t>
      </w:r>
      <w:r>
        <w:rPr>
          <w:rFonts w:hint="eastAsia"/>
          <w:color w:val="auto"/>
          <w:szCs w:val="21"/>
        </w:rPr>
        <w:t>文件（以下简称</w:t>
      </w:r>
      <w:r>
        <w:rPr>
          <w:rFonts w:hint="eastAsia"/>
          <w:color w:val="auto"/>
          <w:szCs w:val="21"/>
          <w:lang w:val="en-US" w:eastAsia="zh-CN"/>
        </w:rPr>
        <w:t>招标</w:t>
      </w:r>
      <w:r>
        <w:rPr>
          <w:rFonts w:hint="eastAsia"/>
          <w:color w:val="auto"/>
          <w:szCs w:val="21"/>
        </w:rPr>
        <w:t>文件）规定条款和成交供应商承诺，甲乙双方签订本合同。</w:t>
      </w:r>
    </w:p>
    <w:p w14:paraId="402C7F8B">
      <w:pPr>
        <w:snapToGrid w:val="0"/>
        <w:spacing w:line="360" w:lineRule="exact"/>
        <w:ind w:firstLine="422" w:firstLineChars="200"/>
        <w:outlineLvl w:val="1"/>
        <w:rPr>
          <w:b/>
          <w:color w:val="auto"/>
          <w:szCs w:val="21"/>
        </w:rPr>
      </w:pPr>
      <w:bookmarkStart w:id="142" w:name="_Toc21606"/>
      <w:bookmarkStart w:id="143" w:name="_Toc28943"/>
      <w:bookmarkStart w:id="144" w:name="_Toc26790"/>
      <w:bookmarkStart w:id="145" w:name="_Toc4971"/>
      <w:bookmarkStart w:id="146" w:name="_Toc4253"/>
      <w:bookmarkStart w:id="147" w:name="_Toc13209"/>
      <w:r>
        <w:rPr>
          <w:rFonts w:hint="eastAsia"/>
          <w:b/>
          <w:color w:val="auto"/>
          <w:szCs w:val="21"/>
        </w:rPr>
        <w:t>第一条　合同标的</w:t>
      </w:r>
      <w:bookmarkEnd w:id="142"/>
      <w:bookmarkEnd w:id="143"/>
      <w:bookmarkEnd w:id="144"/>
      <w:bookmarkEnd w:id="145"/>
      <w:bookmarkEnd w:id="146"/>
      <w:bookmarkEnd w:id="147"/>
    </w:p>
    <w:p w14:paraId="65317F37">
      <w:pPr>
        <w:snapToGrid w:val="0"/>
        <w:spacing w:line="360" w:lineRule="exact"/>
        <w:ind w:firstLine="420" w:firstLineChars="200"/>
        <w:rPr>
          <w:color w:val="auto"/>
          <w:szCs w:val="21"/>
        </w:rPr>
      </w:pPr>
      <w:bookmarkStart w:id="148" w:name="_Toc4056"/>
      <w:bookmarkStart w:id="149" w:name="_Toc23891"/>
      <w:r>
        <w:rPr>
          <w:rFonts w:hint="eastAsia"/>
          <w:color w:val="auto"/>
          <w:szCs w:val="21"/>
        </w:rPr>
        <w:t>1.供货一览表</w:t>
      </w:r>
      <w:bookmarkEnd w:id="148"/>
      <w:bookmarkEnd w:id="149"/>
    </w:p>
    <w:tbl>
      <w:tblPr>
        <w:tblStyle w:val="25"/>
        <w:tblW w:w="0" w:type="auto"/>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359"/>
        <w:gridCol w:w="1175"/>
        <w:gridCol w:w="1100"/>
        <w:gridCol w:w="1172"/>
        <w:gridCol w:w="777"/>
        <w:gridCol w:w="641"/>
        <w:gridCol w:w="914"/>
        <w:gridCol w:w="1537"/>
      </w:tblGrid>
      <w:tr w14:paraId="1D52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031" w:type="dxa"/>
            <w:shd w:val="clear" w:color="auto" w:fill="auto"/>
            <w:vAlign w:val="center"/>
          </w:tcPr>
          <w:p w14:paraId="721B7C80">
            <w:pPr>
              <w:snapToGrid w:val="0"/>
              <w:spacing w:line="360" w:lineRule="exact"/>
              <w:jc w:val="center"/>
              <w:rPr>
                <w:b/>
                <w:bCs/>
                <w:color w:val="auto"/>
                <w:szCs w:val="21"/>
              </w:rPr>
            </w:pPr>
            <w:r>
              <w:rPr>
                <w:rFonts w:hint="eastAsia"/>
                <w:b/>
                <w:bCs/>
                <w:color w:val="auto"/>
                <w:szCs w:val="21"/>
              </w:rPr>
              <w:t>项号</w:t>
            </w:r>
          </w:p>
        </w:tc>
        <w:tc>
          <w:tcPr>
            <w:tcW w:w="1359" w:type="dxa"/>
            <w:shd w:val="clear" w:color="auto" w:fill="auto"/>
            <w:vAlign w:val="center"/>
          </w:tcPr>
          <w:p w14:paraId="06C604F7">
            <w:pPr>
              <w:snapToGrid w:val="0"/>
              <w:spacing w:line="360" w:lineRule="exact"/>
              <w:jc w:val="center"/>
              <w:rPr>
                <w:b/>
                <w:bCs/>
                <w:color w:val="auto"/>
                <w:szCs w:val="21"/>
              </w:rPr>
            </w:pPr>
            <w:r>
              <w:rPr>
                <w:rFonts w:hint="eastAsia"/>
                <w:b/>
                <w:bCs/>
                <w:color w:val="auto"/>
                <w:szCs w:val="21"/>
              </w:rPr>
              <w:t>标的名称</w:t>
            </w:r>
          </w:p>
        </w:tc>
        <w:tc>
          <w:tcPr>
            <w:tcW w:w="1175" w:type="dxa"/>
            <w:shd w:val="clear" w:color="auto" w:fill="auto"/>
            <w:vAlign w:val="center"/>
          </w:tcPr>
          <w:p w14:paraId="6E47828D">
            <w:pPr>
              <w:snapToGrid w:val="0"/>
              <w:spacing w:line="360" w:lineRule="exact"/>
              <w:jc w:val="center"/>
              <w:rPr>
                <w:b/>
                <w:bCs/>
                <w:color w:val="auto"/>
                <w:szCs w:val="21"/>
              </w:rPr>
            </w:pPr>
            <w:r>
              <w:rPr>
                <w:rFonts w:hint="eastAsia"/>
                <w:b/>
                <w:bCs/>
                <w:color w:val="auto"/>
                <w:szCs w:val="21"/>
                <w:lang w:val="en-US" w:eastAsia="zh-CN"/>
              </w:rPr>
              <w:t>品牌（如有）和制造商</w:t>
            </w:r>
          </w:p>
        </w:tc>
        <w:tc>
          <w:tcPr>
            <w:tcW w:w="1100" w:type="dxa"/>
            <w:shd w:val="clear" w:color="auto" w:fill="auto"/>
            <w:vAlign w:val="center"/>
          </w:tcPr>
          <w:p w14:paraId="114734AF">
            <w:pPr>
              <w:snapToGrid w:val="0"/>
              <w:spacing w:line="360" w:lineRule="exact"/>
              <w:jc w:val="center"/>
              <w:rPr>
                <w:b/>
                <w:bCs/>
                <w:color w:val="auto"/>
                <w:szCs w:val="21"/>
              </w:rPr>
            </w:pPr>
            <w:r>
              <w:rPr>
                <w:rFonts w:hint="eastAsia"/>
                <w:b/>
                <w:bCs/>
                <w:color w:val="auto"/>
                <w:szCs w:val="21"/>
              </w:rPr>
              <w:t>规格型号</w:t>
            </w:r>
          </w:p>
        </w:tc>
        <w:tc>
          <w:tcPr>
            <w:tcW w:w="1172" w:type="dxa"/>
            <w:shd w:val="clear" w:color="auto" w:fill="auto"/>
            <w:vAlign w:val="center"/>
          </w:tcPr>
          <w:p w14:paraId="53442C5F">
            <w:pPr>
              <w:snapToGrid w:val="0"/>
              <w:spacing w:line="360" w:lineRule="exact"/>
              <w:jc w:val="center"/>
              <w:rPr>
                <w:b/>
                <w:bCs/>
                <w:color w:val="auto"/>
                <w:szCs w:val="21"/>
              </w:rPr>
            </w:pPr>
            <w:r>
              <w:rPr>
                <w:rFonts w:hint="eastAsia"/>
                <w:b/>
                <w:bCs/>
                <w:color w:val="auto"/>
                <w:szCs w:val="21"/>
              </w:rPr>
              <w:t>技术参数及配置</w:t>
            </w:r>
          </w:p>
        </w:tc>
        <w:tc>
          <w:tcPr>
            <w:tcW w:w="777" w:type="dxa"/>
            <w:shd w:val="clear" w:color="auto" w:fill="auto"/>
            <w:vAlign w:val="center"/>
          </w:tcPr>
          <w:p w14:paraId="6E2E4E42">
            <w:pPr>
              <w:snapToGrid w:val="0"/>
              <w:spacing w:line="360" w:lineRule="exact"/>
              <w:jc w:val="center"/>
              <w:rPr>
                <w:b/>
                <w:bCs/>
                <w:color w:val="auto"/>
                <w:szCs w:val="21"/>
              </w:rPr>
            </w:pPr>
            <w:r>
              <w:rPr>
                <w:rFonts w:hint="eastAsia"/>
                <w:b/>
                <w:bCs/>
                <w:color w:val="auto"/>
                <w:szCs w:val="21"/>
              </w:rPr>
              <w:t>数量</w:t>
            </w:r>
          </w:p>
          <w:p w14:paraId="392513FF">
            <w:pPr>
              <w:snapToGrid w:val="0"/>
              <w:spacing w:line="360" w:lineRule="exact"/>
              <w:jc w:val="center"/>
              <w:rPr>
                <w:b/>
                <w:bCs/>
                <w:color w:val="auto"/>
                <w:szCs w:val="21"/>
              </w:rPr>
            </w:pPr>
            <w:r>
              <w:rPr>
                <w:rFonts w:hint="eastAsia"/>
                <w:b/>
                <w:bCs/>
                <w:color w:val="auto"/>
                <w:szCs w:val="21"/>
              </w:rPr>
              <w:t>①</w:t>
            </w:r>
          </w:p>
        </w:tc>
        <w:tc>
          <w:tcPr>
            <w:tcW w:w="641" w:type="dxa"/>
            <w:shd w:val="clear" w:color="auto" w:fill="auto"/>
            <w:vAlign w:val="center"/>
          </w:tcPr>
          <w:p w14:paraId="6A6D3644">
            <w:pPr>
              <w:snapToGrid w:val="0"/>
              <w:spacing w:line="360" w:lineRule="exact"/>
              <w:jc w:val="center"/>
              <w:rPr>
                <w:b/>
                <w:bCs/>
                <w:color w:val="auto"/>
                <w:szCs w:val="21"/>
              </w:rPr>
            </w:pPr>
            <w:r>
              <w:rPr>
                <w:rFonts w:hint="eastAsia"/>
                <w:b/>
                <w:bCs/>
                <w:color w:val="auto"/>
                <w:szCs w:val="21"/>
              </w:rPr>
              <w:t>单位</w:t>
            </w:r>
          </w:p>
        </w:tc>
        <w:tc>
          <w:tcPr>
            <w:tcW w:w="914" w:type="dxa"/>
            <w:shd w:val="clear" w:color="auto" w:fill="auto"/>
            <w:vAlign w:val="center"/>
          </w:tcPr>
          <w:p w14:paraId="39FCD67B">
            <w:pPr>
              <w:snapToGrid w:val="0"/>
              <w:spacing w:line="360" w:lineRule="exact"/>
              <w:jc w:val="center"/>
              <w:rPr>
                <w:b/>
                <w:bCs/>
                <w:color w:val="auto"/>
                <w:szCs w:val="21"/>
              </w:rPr>
            </w:pPr>
            <w:r>
              <w:rPr>
                <w:rFonts w:hint="eastAsia"/>
                <w:b/>
                <w:bCs/>
                <w:color w:val="auto"/>
                <w:szCs w:val="21"/>
              </w:rPr>
              <w:t>单价（元）</w:t>
            </w:r>
          </w:p>
          <w:p w14:paraId="33F53704">
            <w:pPr>
              <w:snapToGrid w:val="0"/>
              <w:spacing w:line="360" w:lineRule="exact"/>
              <w:jc w:val="center"/>
              <w:rPr>
                <w:b/>
                <w:bCs/>
                <w:color w:val="auto"/>
                <w:szCs w:val="21"/>
              </w:rPr>
            </w:pPr>
            <w:r>
              <w:rPr>
                <w:rFonts w:hint="eastAsia"/>
                <w:b/>
                <w:bCs/>
                <w:color w:val="auto"/>
                <w:szCs w:val="21"/>
              </w:rPr>
              <w:t>②</w:t>
            </w:r>
          </w:p>
        </w:tc>
        <w:tc>
          <w:tcPr>
            <w:tcW w:w="1537" w:type="dxa"/>
            <w:shd w:val="clear" w:color="auto" w:fill="auto"/>
            <w:vAlign w:val="center"/>
          </w:tcPr>
          <w:p w14:paraId="02F91E1F">
            <w:pPr>
              <w:snapToGrid w:val="0"/>
              <w:spacing w:line="360" w:lineRule="exact"/>
              <w:jc w:val="center"/>
              <w:rPr>
                <w:b/>
                <w:bCs/>
                <w:color w:val="auto"/>
                <w:szCs w:val="21"/>
              </w:rPr>
            </w:pPr>
            <w:r>
              <w:rPr>
                <w:rFonts w:hint="eastAsia"/>
                <w:b/>
                <w:bCs/>
                <w:color w:val="auto"/>
                <w:szCs w:val="21"/>
              </w:rPr>
              <w:t>单项合计金额（元）</w:t>
            </w:r>
          </w:p>
          <w:p w14:paraId="57A84889">
            <w:pPr>
              <w:snapToGrid w:val="0"/>
              <w:spacing w:line="360" w:lineRule="exact"/>
              <w:jc w:val="center"/>
              <w:rPr>
                <w:b/>
                <w:bCs/>
                <w:color w:val="auto"/>
                <w:szCs w:val="21"/>
              </w:rPr>
            </w:pPr>
            <w:r>
              <w:rPr>
                <w:rFonts w:hint="eastAsia"/>
                <w:b/>
                <w:bCs/>
                <w:color w:val="auto"/>
                <w:szCs w:val="21"/>
              </w:rPr>
              <w:t>③＝①×②</w:t>
            </w:r>
          </w:p>
        </w:tc>
      </w:tr>
      <w:tr w14:paraId="2B73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031" w:type="dxa"/>
            <w:vAlign w:val="center"/>
          </w:tcPr>
          <w:p w14:paraId="3BA7A5B8">
            <w:pPr>
              <w:spacing w:line="360" w:lineRule="exact"/>
              <w:jc w:val="center"/>
              <w:rPr>
                <w:rFonts w:cs="宋体"/>
                <w:color w:val="auto"/>
                <w:szCs w:val="21"/>
              </w:rPr>
            </w:pPr>
            <w:r>
              <w:rPr>
                <w:rFonts w:hint="eastAsia" w:cs="宋体"/>
                <w:color w:val="auto"/>
                <w:szCs w:val="21"/>
              </w:rPr>
              <w:t>1</w:t>
            </w:r>
          </w:p>
        </w:tc>
        <w:tc>
          <w:tcPr>
            <w:tcW w:w="1359" w:type="dxa"/>
            <w:vAlign w:val="center"/>
          </w:tcPr>
          <w:p w14:paraId="7D70EC5F">
            <w:pPr>
              <w:spacing w:line="360" w:lineRule="exact"/>
              <w:jc w:val="center"/>
              <w:rPr>
                <w:rFonts w:cs="宋体"/>
                <w:color w:val="auto"/>
                <w:szCs w:val="21"/>
              </w:rPr>
            </w:pPr>
          </w:p>
        </w:tc>
        <w:tc>
          <w:tcPr>
            <w:tcW w:w="1175" w:type="dxa"/>
            <w:vAlign w:val="center"/>
          </w:tcPr>
          <w:p w14:paraId="32CC8AFE">
            <w:pPr>
              <w:snapToGrid w:val="0"/>
              <w:spacing w:line="360" w:lineRule="exact"/>
              <w:rPr>
                <w:color w:val="auto"/>
                <w:szCs w:val="21"/>
              </w:rPr>
            </w:pPr>
          </w:p>
        </w:tc>
        <w:tc>
          <w:tcPr>
            <w:tcW w:w="1100" w:type="dxa"/>
            <w:vAlign w:val="center"/>
          </w:tcPr>
          <w:p w14:paraId="4996BB6B">
            <w:pPr>
              <w:snapToGrid w:val="0"/>
              <w:spacing w:line="360" w:lineRule="exact"/>
              <w:rPr>
                <w:color w:val="auto"/>
                <w:szCs w:val="21"/>
              </w:rPr>
            </w:pPr>
          </w:p>
        </w:tc>
        <w:tc>
          <w:tcPr>
            <w:tcW w:w="1172" w:type="dxa"/>
            <w:vAlign w:val="center"/>
          </w:tcPr>
          <w:p w14:paraId="3C9117BE">
            <w:pPr>
              <w:snapToGrid w:val="0"/>
              <w:spacing w:line="360" w:lineRule="exact"/>
              <w:rPr>
                <w:color w:val="auto"/>
                <w:szCs w:val="21"/>
              </w:rPr>
            </w:pPr>
          </w:p>
        </w:tc>
        <w:tc>
          <w:tcPr>
            <w:tcW w:w="777" w:type="dxa"/>
            <w:vAlign w:val="center"/>
          </w:tcPr>
          <w:p w14:paraId="2E7ADFCA">
            <w:pPr>
              <w:spacing w:line="360" w:lineRule="exact"/>
              <w:jc w:val="center"/>
              <w:rPr>
                <w:rFonts w:cs="宋体"/>
                <w:color w:val="auto"/>
                <w:szCs w:val="21"/>
              </w:rPr>
            </w:pPr>
          </w:p>
        </w:tc>
        <w:tc>
          <w:tcPr>
            <w:tcW w:w="641" w:type="dxa"/>
            <w:vAlign w:val="center"/>
          </w:tcPr>
          <w:p w14:paraId="775F09C4">
            <w:pPr>
              <w:spacing w:line="360" w:lineRule="exact"/>
              <w:jc w:val="center"/>
              <w:rPr>
                <w:rFonts w:cs="宋体"/>
                <w:color w:val="auto"/>
                <w:szCs w:val="21"/>
              </w:rPr>
            </w:pPr>
          </w:p>
        </w:tc>
        <w:tc>
          <w:tcPr>
            <w:tcW w:w="914" w:type="dxa"/>
            <w:vAlign w:val="center"/>
          </w:tcPr>
          <w:p w14:paraId="1DEB91FF">
            <w:pPr>
              <w:snapToGrid w:val="0"/>
              <w:spacing w:line="360" w:lineRule="exact"/>
              <w:rPr>
                <w:color w:val="auto"/>
                <w:szCs w:val="21"/>
              </w:rPr>
            </w:pPr>
          </w:p>
        </w:tc>
        <w:tc>
          <w:tcPr>
            <w:tcW w:w="1537" w:type="dxa"/>
            <w:vAlign w:val="center"/>
          </w:tcPr>
          <w:p w14:paraId="5BAC260D">
            <w:pPr>
              <w:snapToGrid w:val="0"/>
              <w:spacing w:line="360" w:lineRule="exact"/>
              <w:rPr>
                <w:color w:val="auto"/>
                <w:szCs w:val="21"/>
              </w:rPr>
            </w:pPr>
          </w:p>
        </w:tc>
      </w:tr>
      <w:tr w14:paraId="697A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9706" w:type="dxa"/>
            <w:gridSpan w:val="9"/>
            <w:vAlign w:val="center"/>
          </w:tcPr>
          <w:p w14:paraId="78D265C7">
            <w:pPr>
              <w:snapToGrid w:val="0"/>
              <w:spacing w:line="360" w:lineRule="exact"/>
              <w:rPr>
                <w:color w:val="auto"/>
                <w:szCs w:val="21"/>
              </w:rPr>
            </w:pPr>
            <w:r>
              <w:rPr>
                <w:rFonts w:hint="eastAsia"/>
                <w:color w:val="auto"/>
                <w:szCs w:val="21"/>
              </w:rPr>
              <w:t>合同总金额：（大写）人民币</w:t>
            </w:r>
            <w:r>
              <w:rPr>
                <w:rFonts w:hint="eastAsia"/>
                <w:color w:val="auto"/>
                <w:szCs w:val="21"/>
                <w:u w:val="single"/>
              </w:rPr>
              <w:t xml:space="preserve">                     </w:t>
            </w:r>
            <w:r>
              <w:rPr>
                <w:rFonts w:hint="eastAsia"/>
                <w:color w:val="auto"/>
                <w:szCs w:val="21"/>
              </w:rPr>
              <w:t>（小写）¥</w:t>
            </w:r>
            <w:r>
              <w:rPr>
                <w:rFonts w:hint="eastAsia"/>
                <w:color w:val="auto"/>
                <w:szCs w:val="21"/>
                <w:u w:val="single"/>
              </w:rPr>
              <w:t xml:space="preserve">                    </w:t>
            </w:r>
          </w:p>
        </w:tc>
      </w:tr>
    </w:tbl>
    <w:p w14:paraId="0453C81A">
      <w:pPr>
        <w:spacing w:line="400" w:lineRule="exact"/>
        <w:ind w:firstLine="516" w:firstLineChars="246"/>
        <w:rPr>
          <w:rFonts w:ascii="Arial" w:hAnsi="Arial" w:cs="Arial"/>
          <w:color w:val="auto"/>
          <w:szCs w:val="21"/>
        </w:rPr>
      </w:pPr>
      <w:r>
        <w:rPr>
          <w:rFonts w:ascii="Arial" w:hAnsi="Arial" w:cs="Arial"/>
          <w:color w:val="auto"/>
          <w:szCs w:val="21"/>
        </w:rPr>
        <w:t>根据《</w:t>
      </w:r>
      <w:r>
        <w:rPr>
          <w:rFonts w:hint="eastAsia" w:ascii="Arial" w:hAnsi="Arial" w:cs="Arial"/>
          <w:color w:val="auto"/>
          <w:szCs w:val="21"/>
          <w:lang w:val="en-US" w:eastAsia="zh-CN"/>
        </w:rPr>
        <w:t>中标</w:t>
      </w:r>
      <w:r>
        <w:rPr>
          <w:rFonts w:ascii="Arial" w:hAnsi="Arial" w:cs="Arial"/>
          <w:color w:val="auto"/>
          <w:szCs w:val="21"/>
        </w:rPr>
        <w:t>通知书》的</w:t>
      </w:r>
      <w:r>
        <w:rPr>
          <w:rFonts w:hint="eastAsia" w:ascii="Arial" w:hAnsi="Arial" w:cs="Arial"/>
          <w:color w:val="auto"/>
          <w:szCs w:val="21"/>
          <w:lang w:val="en-US" w:eastAsia="zh-CN"/>
        </w:rPr>
        <w:t>中标</w:t>
      </w:r>
      <w:r>
        <w:rPr>
          <w:rFonts w:ascii="Arial" w:hAnsi="Arial" w:cs="Arial"/>
          <w:color w:val="auto"/>
          <w:szCs w:val="21"/>
        </w:rPr>
        <w:t>内容，乙方作为本项目的</w:t>
      </w:r>
      <w:r>
        <w:rPr>
          <w:rFonts w:hint="eastAsia" w:ascii="Arial" w:hAnsi="Arial" w:cs="Arial"/>
          <w:color w:val="auto"/>
          <w:szCs w:val="21"/>
          <w:lang w:val="en-US" w:eastAsia="zh-CN"/>
        </w:rPr>
        <w:t>中标</w:t>
      </w:r>
      <w:r>
        <w:rPr>
          <w:rFonts w:hint="eastAsia" w:ascii="Arial" w:hAnsi="Arial" w:cs="Arial"/>
          <w:color w:val="auto"/>
          <w:szCs w:val="21"/>
        </w:rPr>
        <w:t>供应商</w:t>
      </w:r>
      <w:r>
        <w:rPr>
          <w:rFonts w:ascii="Arial" w:hAnsi="Arial" w:cs="Arial"/>
          <w:color w:val="auto"/>
          <w:szCs w:val="21"/>
        </w:rPr>
        <w:t>，合同的总金额</w:t>
      </w:r>
      <w:r>
        <w:rPr>
          <w:rFonts w:hint="eastAsia" w:ascii="Arial" w:hAnsi="Arial" w:cs="Arial"/>
          <w:color w:val="auto"/>
          <w:szCs w:val="21"/>
          <w:lang w:eastAsia="zh-CN"/>
        </w:rPr>
        <w:t>（</w:t>
      </w:r>
      <w:r>
        <w:rPr>
          <w:rFonts w:hint="eastAsia" w:ascii="Arial" w:hAnsi="Arial" w:cs="Arial"/>
          <w:color w:val="auto"/>
          <w:szCs w:val="21"/>
          <w:lang w:val="en-US" w:eastAsia="zh-CN"/>
        </w:rPr>
        <w:t>含税</w:t>
      </w:r>
      <w:r>
        <w:rPr>
          <w:rFonts w:hint="eastAsia" w:ascii="Arial" w:hAnsi="Arial" w:cs="Arial"/>
          <w:color w:val="auto"/>
          <w:szCs w:val="21"/>
          <w:lang w:eastAsia="zh-CN"/>
        </w:rPr>
        <w:t>）</w:t>
      </w:r>
      <w:r>
        <w:rPr>
          <w:rFonts w:ascii="Arial" w:hAnsi="Arial" w:cs="Arial"/>
          <w:color w:val="auto"/>
          <w:szCs w:val="21"/>
        </w:rPr>
        <w:t>为：（大写）</w:t>
      </w:r>
      <w:r>
        <w:rPr>
          <w:rFonts w:hint="eastAsia" w:ascii="Arial" w:hAnsi="Arial" w:cs="Arial"/>
          <w:color w:val="auto"/>
          <w:szCs w:val="21"/>
          <w:u w:val="single"/>
        </w:rPr>
        <w:t xml:space="preserve">        </w:t>
      </w:r>
      <w:r>
        <w:rPr>
          <w:rFonts w:ascii="Arial" w:hAnsi="Arial" w:cs="Arial"/>
          <w:color w:val="auto"/>
          <w:szCs w:val="21"/>
        </w:rPr>
        <w:t>人民币（￥</w:t>
      </w:r>
      <w:r>
        <w:rPr>
          <w:rFonts w:hint="eastAsia" w:ascii="Arial" w:hAnsi="Arial" w:cs="Arial"/>
          <w:color w:val="auto"/>
          <w:szCs w:val="21"/>
          <w:u w:val="single"/>
        </w:rPr>
        <w:t xml:space="preserve">        </w:t>
      </w:r>
      <w:r>
        <w:rPr>
          <w:rFonts w:ascii="Arial" w:hAnsi="Arial" w:cs="Arial"/>
          <w:color w:val="auto"/>
          <w:szCs w:val="21"/>
        </w:rPr>
        <w:t>元）</w:t>
      </w:r>
      <w:r>
        <w:rPr>
          <w:rFonts w:hint="eastAsia" w:ascii="Arial" w:hAnsi="Arial" w:cs="Arial"/>
          <w:color w:val="auto"/>
          <w:szCs w:val="21"/>
        </w:rPr>
        <w:t>。</w:t>
      </w:r>
    </w:p>
    <w:p w14:paraId="31581813">
      <w:pPr>
        <w:spacing w:line="400" w:lineRule="exact"/>
        <w:ind w:firstLine="413" w:firstLineChars="196"/>
        <w:outlineLvl w:val="1"/>
        <w:rPr>
          <w:rFonts w:ascii="Arial" w:hAnsi="Arial" w:cs="Arial"/>
          <w:b/>
          <w:color w:val="auto"/>
          <w:szCs w:val="21"/>
        </w:rPr>
      </w:pPr>
      <w:r>
        <w:rPr>
          <w:rFonts w:ascii="Arial" w:hAnsi="Arial" w:cs="Arial"/>
          <w:b/>
          <w:color w:val="auto"/>
          <w:szCs w:val="21"/>
        </w:rPr>
        <w:t>第二条  质量保证</w:t>
      </w:r>
    </w:p>
    <w:p w14:paraId="67D2CB6F">
      <w:pPr>
        <w:spacing w:line="400" w:lineRule="exact"/>
        <w:ind w:firstLine="411" w:firstLineChars="196"/>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乙方应按</w:t>
      </w:r>
      <w:r>
        <w:rPr>
          <w:rFonts w:hint="eastAsia" w:ascii="Arial" w:hAnsi="Arial" w:cs="Arial"/>
          <w:color w:val="auto"/>
          <w:szCs w:val="21"/>
          <w:lang w:val="en-US" w:eastAsia="zh-CN"/>
        </w:rPr>
        <w:t>投标</w:t>
      </w:r>
      <w:r>
        <w:rPr>
          <w:rFonts w:hint="eastAsia" w:ascii="Arial" w:hAnsi="Arial" w:cs="Arial"/>
          <w:color w:val="auto"/>
          <w:szCs w:val="21"/>
        </w:rPr>
        <w:t>文件</w:t>
      </w:r>
      <w:r>
        <w:rPr>
          <w:rFonts w:ascii="Arial" w:hAnsi="Arial" w:cs="Arial"/>
          <w:color w:val="auto"/>
          <w:szCs w:val="21"/>
        </w:rPr>
        <w:t>承诺的货物型号、技术规格、技术参数、质量标准向甲方提供未经使用的全新原装产品，且在正常安装、使用和保养条件下，其使用寿命期内各项指标均达到质量标准。</w:t>
      </w:r>
    </w:p>
    <w:p w14:paraId="718CEDF2">
      <w:pPr>
        <w:spacing w:line="400" w:lineRule="exact"/>
        <w:ind w:firstLine="435"/>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乙方提供货物的</w:t>
      </w:r>
      <w:r>
        <w:rPr>
          <w:rFonts w:hint="eastAsia" w:ascii="Arial" w:hAnsi="Arial" w:cs="Arial"/>
          <w:color w:val="auto"/>
          <w:szCs w:val="21"/>
          <w:lang w:val="en-US" w:eastAsia="zh-CN"/>
        </w:rPr>
        <w:t>保修期</w:t>
      </w:r>
      <w:r>
        <w:rPr>
          <w:rFonts w:ascii="Arial" w:hAnsi="Arial" w:cs="Arial"/>
          <w:color w:val="auto"/>
          <w:szCs w:val="21"/>
        </w:rPr>
        <w:t>为</w:t>
      </w:r>
      <w:r>
        <w:rPr>
          <w:rFonts w:ascii="Arial" w:hAnsi="Arial" w:cs="Arial"/>
          <w:color w:val="auto"/>
          <w:szCs w:val="21"/>
          <w:u w:val="single"/>
        </w:rPr>
        <w:t xml:space="preserve">             </w:t>
      </w:r>
      <w:r>
        <w:rPr>
          <w:rFonts w:ascii="Arial" w:hAnsi="Arial" w:cs="Arial"/>
          <w:color w:val="auto"/>
          <w:szCs w:val="21"/>
        </w:rPr>
        <w:t>。在</w:t>
      </w:r>
      <w:r>
        <w:rPr>
          <w:rFonts w:hint="eastAsia" w:ascii="Arial" w:hAnsi="Arial" w:cs="Arial"/>
          <w:color w:val="auto"/>
          <w:szCs w:val="21"/>
          <w:lang w:eastAsia="zh-CN"/>
        </w:rPr>
        <w:t>保修期</w:t>
      </w:r>
      <w:r>
        <w:rPr>
          <w:rFonts w:ascii="Arial" w:hAnsi="Arial" w:cs="Arial"/>
          <w:color w:val="auto"/>
          <w:szCs w:val="21"/>
        </w:rPr>
        <w:t>内因货物本身的质量问题发生故障，乙方应负责免费修理和更换零部件。对达不到技术要求者，根据实际情况，</w:t>
      </w:r>
      <w:r>
        <w:rPr>
          <w:rFonts w:hint="eastAsia" w:ascii="Arial" w:hAnsi="Arial" w:cs="Arial"/>
          <w:color w:val="auto"/>
          <w:szCs w:val="21"/>
        </w:rPr>
        <w:t>甲方有权选择</w:t>
      </w:r>
      <w:r>
        <w:rPr>
          <w:rFonts w:ascii="Arial" w:hAnsi="Arial" w:cs="Arial"/>
          <w:color w:val="auto"/>
          <w:szCs w:val="21"/>
        </w:rPr>
        <w:t>按以下办法</w:t>
      </w:r>
      <w:r>
        <w:rPr>
          <w:rFonts w:hint="eastAsia" w:ascii="Arial" w:hAnsi="Arial" w:cs="Arial"/>
          <w:color w:val="auto"/>
          <w:szCs w:val="21"/>
        </w:rPr>
        <w:t>之一</w:t>
      </w:r>
      <w:r>
        <w:rPr>
          <w:rFonts w:ascii="Arial" w:hAnsi="Arial" w:cs="Arial"/>
          <w:color w:val="auto"/>
          <w:szCs w:val="21"/>
        </w:rPr>
        <w:t>处理：</w:t>
      </w:r>
    </w:p>
    <w:p w14:paraId="05677660">
      <w:pPr>
        <w:spacing w:line="400" w:lineRule="exact"/>
        <w:ind w:firstLine="435"/>
        <w:rPr>
          <w:rFonts w:ascii="Arial" w:hAnsi="Arial" w:cs="Arial"/>
          <w:color w:val="auto"/>
          <w:szCs w:val="21"/>
        </w:rPr>
      </w:pPr>
      <w:r>
        <w:rPr>
          <w:rFonts w:ascii="Arial" w:hAnsi="Arial" w:cs="Arial"/>
          <w:color w:val="auto"/>
          <w:szCs w:val="21"/>
        </w:rPr>
        <w:t>（1）更换：由乙方承担所有发生的全部费用</w:t>
      </w:r>
      <w:r>
        <w:rPr>
          <w:rFonts w:hint="eastAsia" w:ascii="Arial" w:hAnsi="Arial" w:cs="Arial"/>
          <w:color w:val="auto"/>
          <w:szCs w:val="21"/>
        </w:rPr>
        <w:t>和停用期间损失（按照每日【  】元计）</w:t>
      </w:r>
      <w:r>
        <w:rPr>
          <w:rFonts w:ascii="Arial" w:hAnsi="Arial" w:cs="Arial"/>
          <w:color w:val="auto"/>
          <w:szCs w:val="21"/>
        </w:rPr>
        <w:t>。</w:t>
      </w:r>
    </w:p>
    <w:p w14:paraId="4105A4CD">
      <w:pPr>
        <w:spacing w:line="400" w:lineRule="exact"/>
        <w:ind w:firstLine="420" w:firstLineChars="200"/>
        <w:rPr>
          <w:rFonts w:ascii="Arial" w:hAnsi="Arial" w:cs="Arial"/>
          <w:color w:val="auto"/>
          <w:szCs w:val="21"/>
        </w:rPr>
      </w:pPr>
      <w:r>
        <w:rPr>
          <w:rFonts w:ascii="Arial" w:hAnsi="Arial" w:cs="Arial"/>
          <w:color w:val="auto"/>
          <w:szCs w:val="21"/>
        </w:rPr>
        <w:t>（2）贬值处理：由甲乙双方合议定价。</w:t>
      </w:r>
    </w:p>
    <w:p w14:paraId="61E9ADD7">
      <w:pPr>
        <w:spacing w:line="400" w:lineRule="exact"/>
        <w:ind w:firstLine="420" w:firstLineChars="200"/>
        <w:rPr>
          <w:rFonts w:ascii="Arial" w:hAnsi="Arial" w:cs="Arial"/>
          <w:color w:val="auto"/>
          <w:szCs w:val="21"/>
        </w:rPr>
      </w:pPr>
      <w:r>
        <w:rPr>
          <w:rFonts w:ascii="Arial" w:hAnsi="Arial" w:cs="Arial"/>
          <w:color w:val="auto"/>
          <w:szCs w:val="21"/>
        </w:rPr>
        <w:t>（3）退货处理：乙方应退还甲方支付的合同款，同时应承担该货物的直接费用（运输、保险、检验、贷款利息及银行手续费等）</w:t>
      </w:r>
      <w:r>
        <w:rPr>
          <w:rFonts w:hint="eastAsia" w:ascii="Arial" w:hAnsi="Arial" w:cs="Arial"/>
          <w:color w:val="auto"/>
          <w:szCs w:val="21"/>
        </w:rPr>
        <w:t>和停用期间损失（按照每日【  】元计）</w:t>
      </w:r>
      <w:r>
        <w:rPr>
          <w:rFonts w:ascii="Arial" w:hAnsi="Arial" w:cs="Arial"/>
          <w:color w:val="auto"/>
          <w:szCs w:val="21"/>
        </w:rPr>
        <w:t>。</w:t>
      </w:r>
    </w:p>
    <w:p w14:paraId="163797D2">
      <w:pPr>
        <w:spacing w:line="400" w:lineRule="exact"/>
        <w:ind w:firstLine="413" w:firstLineChars="196"/>
        <w:outlineLvl w:val="1"/>
        <w:rPr>
          <w:rFonts w:ascii="Arial" w:hAnsi="Arial" w:cs="Arial"/>
          <w:b/>
          <w:color w:val="auto"/>
          <w:szCs w:val="21"/>
        </w:rPr>
      </w:pPr>
      <w:r>
        <w:rPr>
          <w:rFonts w:ascii="Arial" w:hAnsi="Arial" w:cs="Arial"/>
          <w:b/>
          <w:color w:val="auto"/>
          <w:szCs w:val="21"/>
        </w:rPr>
        <w:t xml:space="preserve">第三条  </w:t>
      </w:r>
      <w:r>
        <w:rPr>
          <w:rFonts w:hint="eastAsia" w:ascii="Arial" w:hAnsi="Arial" w:cs="Arial"/>
          <w:b/>
          <w:color w:val="auto"/>
          <w:szCs w:val="21"/>
        </w:rPr>
        <w:t>权利</w:t>
      </w:r>
      <w:r>
        <w:rPr>
          <w:rFonts w:ascii="Arial" w:hAnsi="Arial" w:cs="Arial"/>
          <w:b/>
          <w:color w:val="auto"/>
          <w:szCs w:val="21"/>
        </w:rPr>
        <w:t>保证</w:t>
      </w:r>
    </w:p>
    <w:p w14:paraId="101D614E">
      <w:pPr>
        <w:spacing w:line="400" w:lineRule="exact"/>
        <w:ind w:firstLine="411" w:firstLineChars="196"/>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乙方应保证所提供货物在使用时不会侵犯任何第三方的专利权、商标权、工业设计权或其他权利。</w:t>
      </w:r>
    </w:p>
    <w:p w14:paraId="764B59D6">
      <w:pPr>
        <w:spacing w:line="400" w:lineRule="exact"/>
        <w:ind w:firstLine="420" w:firstLineChars="200"/>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乙方应按</w:t>
      </w:r>
      <w:r>
        <w:rPr>
          <w:rFonts w:hint="eastAsia" w:ascii="Arial" w:hAnsi="Arial" w:cs="Arial"/>
          <w:color w:val="auto"/>
          <w:szCs w:val="21"/>
          <w:lang w:val="en-US" w:eastAsia="zh-CN"/>
        </w:rPr>
        <w:t>招标</w:t>
      </w:r>
      <w:r>
        <w:rPr>
          <w:rFonts w:hint="eastAsia" w:ascii="Arial" w:hAnsi="Arial" w:cs="Arial"/>
          <w:color w:val="auto"/>
          <w:szCs w:val="21"/>
        </w:rPr>
        <w:t>文件</w:t>
      </w:r>
      <w:r>
        <w:rPr>
          <w:rFonts w:ascii="Arial" w:hAnsi="Arial" w:cs="Arial"/>
          <w:color w:val="auto"/>
          <w:szCs w:val="21"/>
        </w:rPr>
        <w:t>规定的时间向甲方提供使用货物的有关技术资料。</w:t>
      </w:r>
    </w:p>
    <w:p w14:paraId="516064E9">
      <w:pPr>
        <w:spacing w:line="400" w:lineRule="exact"/>
        <w:ind w:firstLine="420" w:firstLineChars="200"/>
        <w:rPr>
          <w:rFonts w:ascii="Arial" w:hAnsi="Arial" w:cs="Arial"/>
          <w:color w:val="auto"/>
          <w:szCs w:val="21"/>
        </w:rPr>
      </w:pPr>
      <w:r>
        <w:rPr>
          <w:rFonts w:ascii="Arial" w:hAnsi="Arial" w:cs="Arial"/>
          <w:color w:val="auto"/>
          <w:szCs w:val="21"/>
        </w:rPr>
        <w:t>3</w:t>
      </w:r>
      <w:r>
        <w:rPr>
          <w:rFonts w:hint="eastAsia" w:ascii="Arial" w:hAnsi="Arial" w:cs="Arial"/>
          <w:color w:val="auto"/>
          <w:szCs w:val="21"/>
        </w:rPr>
        <w:t>、</w:t>
      </w:r>
      <w:r>
        <w:rPr>
          <w:rFonts w:ascii="Arial" w:hAnsi="Arial" w:cs="Arial"/>
          <w:color w:val="auto"/>
          <w:szCs w:val="21"/>
        </w:rPr>
        <w:t>乙方保证所交付的货物的所有权完全属于乙方且无任何抵押、质押、查封等产权瑕疵</w:t>
      </w:r>
      <w:r>
        <w:rPr>
          <w:rFonts w:hint="eastAsia" w:ascii="Arial" w:hAnsi="Arial" w:cs="Arial"/>
          <w:color w:val="auto"/>
          <w:szCs w:val="21"/>
        </w:rPr>
        <w:t>或权利限制</w:t>
      </w:r>
      <w:r>
        <w:rPr>
          <w:rFonts w:ascii="Arial" w:hAnsi="Arial" w:cs="Arial"/>
          <w:color w:val="auto"/>
          <w:szCs w:val="21"/>
        </w:rPr>
        <w:t>。</w:t>
      </w:r>
    </w:p>
    <w:p w14:paraId="3E6F1431">
      <w:pPr>
        <w:spacing w:line="400" w:lineRule="exact"/>
        <w:ind w:firstLine="413" w:firstLineChars="196"/>
        <w:outlineLvl w:val="1"/>
        <w:rPr>
          <w:rFonts w:ascii="Arial" w:hAnsi="Arial" w:cs="Arial"/>
          <w:b/>
          <w:color w:val="auto"/>
          <w:szCs w:val="21"/>
        </w:rPr>
      </w:pPr>
      <w:r>
        <w:rPr>
          <w:rFonts w:ascii="Arial" w:hAnsi="Arial" w:cs="Arial"/>
          <w:b/>
          <w:color w:val="auto"/>
          <w:szCs w:val="21"/>
        </w:rPr>
        <w:t>第四条  货物包装、运输</w:t>
      </w:r>
    </w:p>
    <w:p w14:paraId="04D7874F">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乙方应在货物发运前对其进行满足运输距离、防潮、防震和防破损装卸等要求包装，以保证货物安全运达甲方指定地点。</w:t>
      </w:r>
    </w:p>
    <w:p w14:paraId="5E4ACF73">
      <w:pPr>
        <w:spacing w:line="400" w:lineRule="exact"/>
        <w:ind w:left="0" w:firstLine="420" w:firstLineChars="200"/>
        <w:jc w:val="left"/>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使用说明书、质量检验证明书、随配附件和工具以及清单一并附于货物内。</w:t>
      </w:r>
      <w:r>
        <w:rPr>
          <w:rFonts w:hint="eastAsia" w:ascii="Arial" w:hAnsi="Arial" w:cs="Arial"/>
          <w:color w:val="auto"/>
          <w:szCs w:val="21"/>
        </w:rPr>
        <w:t>如有进口设备必须提供报关单。</w:t>
      </w:r>
    </w:p>
    <w:p w14:paraId="775860C5">
      <w:pPr>
        <w:spacing w:line="400" w:lineRule="exact"/>
        <w:ind w:firstLine="420" w:firstLineChars="200"/>
        <w:rPr>
          <w:rFonts w:ascii="Arial" w:hAnsi="Arial" w:cs="Arial"/>
          <w:color w:val="auto"/>
          <w:szCs w:val="21"/>
        </w:rPr>
      </w:pPr>
      <w:r>
        <w:rPr>
          <w:rFonts w:ascii="Arial" w:hAnsi="Arial" w:cs="Arial"/>
          <w:color w:val="auto"/>
          <w:szCs w:val="21"/>
        </w:rPr>
        <w:t>3</w:t>
      </w:r>
      <w:r>
        <w:rPr>
          <w:rFonts w:hint="eastAsia" w:ascii="Arial" w:hAnsi="Arial" w:cs="Arial"/>
          <w:color w:val="auto"/>
          <w:szCs w:val="21"/>
        </w:rPr>
        <w:t>、</w:t>
      </w:r>
      <w:r>
        <w:rPr>
          <w:rFonts w:ascii="Arial" w:hAnsi="Arial" w:cs="Arial"/>
          <w:color w:val="auto"/>
          <w:szCs w:val="21"/>
        </w:rPr>
        <w:t>乙方在货物发运手续办理完毕后二十四小时内或货到甲方四十八小时前通知甲方，以准备接货。</w:t>
      </w:r>
    </w:p>
    <w:p w14:paraId="24BD4E33">
      <w:pPr>
        <w:spacing w:line="400" w:lineRule="exact"/>
        <w:ind w:left="420"/>
        <w:rPr>
          <w:rFonts w:ascii="Arial" w:hAnsi="Arial" w:cs="Arial"/>
          <w:color w:val="auto"/>
          <w:szCs w:val="21"/>
        </w:rPr>
      </w:pPr>
      <w:r>
        <w:rPr>
          <w:rFonts w:ascii="Arial" w:hAnsi="Arial" w:cs="Arial"/>
          <w:color w:val="auto"/>
          <w:szCs w:val="21"/>
        </w:rPr>
        <w:t>4</w:t>
      </w:r>
      <w:r>
        <w:rPr>
          <w:rFonts w:hint="eastAsia" w:ascii="Arial" w:hAnsi="Arial" w:cs="Arial"/>
          <w:color w:val="auto"/>
          <w:szCs w:val="21"/>
        </w:rPr>
        <w:t>、</w:t>
      </w:r>
      <w:r>
        <w:rPr>
          <w:rFonts w:ascii="Arial" w:hAnsi="Arial" w:cs="Arial"/>
          <w:color w:val="auto"/>
          <w:szCs w:val="21"/>
        </w:rPr>
        <w:t>货物在</w:t>
      </w:r>
      <w:r>
        <w:rPr>
          <w:rFonts w:hint="eastAsia" w:ascii="Arial" w:hAnsi="Arial" w:cs="Arial"/>
          <w:color w:val="auto"/>
          <w:szCs w:val="21"/>
        </w:rPr>
        <w:t>最终验收移交</w:t>
      </w:r>
      <w:r>
        <w:rPr>
          <w:rFonts w:ascii="Arial" w:hAnsi="Arial" w:cs="Arial"/>
          <w:color w:val="auto"/>
          <w:szCs w:val="21"/>
        </w:rPr>
        <w:t>甲方前发生的风险均由乙方负责。</w:t>
      </w:r>
    </w:p>
    <w:p w14:paraId="2B404D67">
      <w:pPr>
        <w:spacing w:line="400" w:lineRule="exact"/>
        <w:ind w:firstLine="413" w:firstLineChars="196"/>
        <w:outlineLvl w:val="1"/>
        <w:rPr>
          <w:rFonts w:ascii="Arial" w:hAnsi="Arial" w:cs="Arial"/>
          <w:b/>
          <w:color w:val="auto"/>
          <w:szCs w:val="21"/>
        </w:rPr>
      </w:pPr>
      <w:r>
        <w:rPr>
          <w:rFonts w:ascii="Arial" w:hAnsi="Arial" w:cs="Arial"/>
          <w:b/>
          <w:color w:val="auto"/>
          <w:szCs w:val="21"/>
        </w:rPr>
        <w:t>第五条  交付</w:t>
      </w:r>
    </w:p>
    <w:p w14:paraId="59A25EB1">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交付使用时间：</w:t>
      </w:r>
      <w:r>
        <w:rPr>
          <w:rFonts w:hint="eastAsia" w:ascii="Arial" w:hAnsi="Arial" w:cs="Arial"/>
          <w:color w:val="auto"/>
          <w:szCs w:val="21"/>
        </w:rPr>
        <w:t xml:space="preserve"> </w:t>
      </w:r>
      <w:r>
        <w:rPr>
          <w:rFonts w:hint="eastAsia" w:ascii="Arial" w:hAnsi="Arial" w:cs="Arial"/>
          <w:color w:val="auto"/>
          <w:szCs w:val="21"/>
          <w:u w:val="single"/>
        </w:rPr>
        <w:t xml:space="preserve"> 合同签订后【 】日内               </w:t>
      </w:r>
      <w:r>
        <w:rPr>
          <w:rFonts w:hint="eastAsia" w:ascii="Arial" w:hAnsi="Arial" w:cs="Arial"/>
          <w:color w:val="auto"/>
          <w:szCs w:val="21"/>
        </w:rPr>
        <w:t>，</w:t>
      </w:r>
      <w:r>
        <w:rPr>
          <w:rFonts w:ascii="Arial" w:hAnsi="Arial" w:cs="Arial"/>
          <w:color w:val="auto"/>
          <w:szCs w:val="21"/>
        </w:rPr>
        <w:t>地点：</w:t>
      </w:r>
      <w:r>
        <w:rPr>
          <w:rFonts w:hint="eastAsia" w:ascii="Arial" w:hAnsi="Arial" w:cs="Arial"/>
          <w:color w:val="auto"/>
          <w:szCs w:val="21"/>
          <w:u w:val="single"/>
        </w:rPr>
        <w:t>采购人指定地点【  】</w:t>
      </w:r>
      <w:r>
        <w:rPr>
          <w:rFonts w:ascii="Arial" w:hAnsi="Arial" w:cs="Arial"/>
          <w:color w:val="auto"/>
          <w:szCs w:val="21"/>
        </w:rPr>
        <w:t>。</w:t>
      </w:r>
    </w:p>
    <w:p w14:paraId="5C8C77F7">
      <w:pPr>
        <w:spacing w:line="400" w:lineRule="exact"/>
        <w:ind w:firstLine="420" w:firstLineChars="200"/>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乙方提供不符合</w:t>
      </w:r>
      <w:r>
        <w:rPr>
          <w:rFonts w:hint="eastAsia" w:ascii="Arial" w:hAnsi="Arial" w:cs="Arial"/>
          <w:color w:val="auto"/>
          <w:szCs w:val="21"/>
          <w:lang w:val="en-US" w:eastAsia="zh-CN"/>
        </w:rPr>
        <w:t>招标</w:t>
      </w:r>
      <w:r>
        <w:rPr>
          <w:rFonts w:hint="eastAsia" w:ascii="Arial" w:hAnsi="Arial" w:cs="Arial"/>
          <w:color w:val="auto"/>
          <w:szCs w:val="21"/>
        </w:rPr>
        <w:t>文件</w:t>
      </w:r>
      <w:r>
        <w:rPr>
          <w:rFonts w:ascii="Arial" w:hAnsi="Arial" w:cs="Arial"/>
          <w:color w:val="auto"/>
          <w:szCs w:val="21"/>
        </w:rPr>
        <w:t>、</w:t>
      </w:r>
      <w:r>
        <w:rPr>
          <w:rFonts w:hint="eastAsia" w:ascii="Arial" w:hAnsi="Arial" w:cs="Arial"/>
          <w:color w:val="auto"/>
          <w:szCs w:val="21"/>
          <w:lang w:val="en-US" w:eastAsia="zh-CN"/>
        </w:rPr>
        <w:t>投标</w:t>
      </w:r>
      <w:r>
        <w:rPr>
          <w:rFonts w:hint="eastAsia" w:ascii="Arial" w:hAnsi="Arial" w:cs="Arial"/>
          <w:color w:val="auto"/>
          <w:szCs w:val="21"/>
        </w:rPr>
        <w:t>文件</w:t>
      </w:r>
      <w:r>
        <w:rPr>
          <w:rFonts w:ascii="Arial" w:hAnsi="Arial" w:cs="Arial"/>
          <w:color w:val="auto"/>
          <w:szCs w:val="21"/>
        </w:rPr>
        <w:t>和本合同规定的货物，甲方有权拒绝接受。</w:t>
      </w:r>
    </w:p>
    <w:p w14:paraId="512384B2">
      <w:pPr>
        <w:spacing w:line="400" w:lineRule="exact"/>
        <w:ind w:firstLine="420" w:firstLineChars="200"/>
        <w:rPr>
          <w:rFonts w:ascii="Arial" w:hAnsi="Arial" w:cs="Arial"/>
          <w:color w:val="auto"/>
          <w:szCs w:val="21"/>
        </w:rPr>
      </w:pPr>
      <w:r>
        <w:rPr>
          <w:rFonts w:ascii="Arial" w:hAnsi="Arial" w:cs="Arial"/>
          <w:color w:val="auto"/>
          <w:szCs w:val="21"/>
        </w:rPr>
        <w:t>3</w:t>
      </w:r>
      <w:r>
        <w:rPr>
          <w:rFonts w:hint="eastAsia" w:ascii="Arial" w:hAnsi="Arial" w:cs="Arial"/>
          <w:color w:val="auto"/>
          <w:szCs w:val="21"/>
        </w:rPr>
        <w:t>、</w:t>
      </w:r>
      <w:r>
        <w:rPr>
          <w:rFonts w:ascii="Arial" w:hAnsi="Arial" w:cs="Arial"/>
          <w:color w:val="auto"/>
          <w:szCs w:val="21"/>
        </w:rPr>
        <w:t>乙方应将所有提供货物的装箱清单、用户手册、原厂保修卡、随机资料、工具和备用、备件等交付给甲方、如有缺失应及时补齐，否则视为逾期交货。</w:t>
      </w:r>
    </w:p>
    <w:p w14:paraId="073BD9A4">
      <w:pPr>
        <w:spacing w:line="400" w:lineRule="exact"/>
        <w:ind w:firstLine="413" w:firstLineChars="196"/>
        <w:outlineLvl w:val="1"/>
        <w:rPr>
          <w:rFonts w:ascii="宋体" w:hAnsi="宋体"/>
          <w:b/>
          <w:color w:val="auto"/>
          <w:szCs w:val="21"/>
        </w:rPr>
      </w:pPr>
      <w:r>
        <w:rPr>
          <w:rFonts w:ascii="Arial" w:hAnsi="Arial" w:cs="Arial"/>
          <w:b/>
          <w:color w:val="auto"/>
          <w:szCs w:val="21"/>
        </w:rPr>
        <w:t xml:space="preserve">第六条  </w:t>
      </w:r>
      <w:r>
        <w:rPr>
          <w:rFonts w:hint="eastAsia" w:ascii="宋体" w:hAnsi="宋体"/>
          <w:b/>
          <w:color w:val="auto"/>
          <w:szCs w:val="21"/>
        </w:rPr>
        <w:t>质量标准、验收标准、验收程序及方法</w:t>
      </w:r>
    </w:p>
    <w:p w14:paraId="061244CE">
      <w:pPr>
        <w:spacing w:line="400" w:lineRule="exact"/>
        <w:ind w:firstLine="422" w:firstLineChars="200"/>
        <w:rPr>
          <w:rFonts w:ascii="Arial" w:hAnsi="Arial" w:cs="Arial"/>
          <w:b/>
          <w:bCs/>
          <w:color w:val="auto"/>
          <w:szCs w:val="21"/>
        </w:rPr>
      </w:pPr>
      <w:r>
        <w:rPr>
          <w:rFonts w:hint="eastAsia" w:ascii="Arial" w:hAnsi="Arial" w:cs="Arial"/>
          <w:b/>
          <w:bCs/>
          <w:color w:val="auto"/>
          <w:szCs w:val="21"/>
        </w:rPr>
        <w:t>1、质量标准：</w:t>
      </w:r>
    </w:p>
    <w:p w14:paraId="04D408B6">
      <w:pPr>
        <w:spacing w:line="400" w:lineRule="exact"/>
        <w:ind w:firstLine="420" w:firstLineChars="200"/>
        <w:rPr>
          <w:rFonts w:ascii="Arial" w:hAnsi="Arial" w:cs="Arial"/>
          <w:color w:val="auto"/>
          <w:szCs w:val="21"/>
        </w:rPr>
      </w:pPr>
      <w:r>
        <w:rPr>
          <w:rFonts w:hint="eastAsia" w:ascii="Arial" w:hAnsi="Arial" w:cs="Arial"/>
          <w:color w:val="auto"/>
          <w:szCs w:val="21"/>
        </w:rPr>
        <w:t>本项目执行国家相关标准、行业标准、地方标准或者其他标准、规范。如具体采购需求与标准、规范不一致的，高于标准、规范的按具体采购需求执行；低于标准、规范的按标准、规范执行。供应商所提供的产品必须是全新、完好、无破损、未经使用的原装产品，产品符合制造厂家合格产品的出厂质量标准，且在正常安装、使用和保养条件下，其使用寿命期内各项指标均达到质量要求。</w:t>
      </w:r>
    </w:p>
    <w:p w14:paraId="39A0F77F">
      <w:pPr>
        <w:spacing w:line="400" w:lineRule="exact"/>
        <w:ind w:firstLine="422" w:firstLineChars="200"/>
        <w:rPr>
          <w:rFonts w:ascii="Arial" w:hAnsi="Arial" w:cs="Arial"/>
          <w:b/>
          <w:bCs/>
          <w:color w:val="auto"/>
          <w:szCs w:val="21"/>
        </w:rPr>
      </w:pPr>
      <w:r>
        <w:rPr>
          <w:rFonts w:hint="eastAsia" w:ascii="Arial" w:hAnsi="Arial" w:cs="Arial"/>
          <w:b/>
          <w:bCs/>
          <w:color w:val="auto"/>
          <w:szCs w:val="21"/>
        </w:rPr>
        <w:t>2、验收标准：</w:t>
      </w:r>
    </w:p>
    <w:p w14:paraId="049946B4">
      <w:pPr>
        <w:spacing w:line="400" w:lineRule="exact"/>
        <w:ind w:firstLine="420" w:firstLineChars="200"/>
        <w:rPr>
          <w:rFonts w:ascii="Arial" w:hAnsi="Arial" w:cs="Arial"/>
          <w:color w:val="auto"/>
          <w:szCs w:val="21"/>
        </w:rPr>
      </w:pPr>
      <w:r>
        <w:rPr>
          <w:rFonts w:hint="eastAsia" w:ascii="Arial" w:hAnsi="Arial" w:cs="Arial"/>
          <w:color w:val="auto"/>
          <w:szCs w:val="21"/>
        </w:rPr>
        <w:t>1）本项目执行国家相关标准、行业标准、地方标准或者其他标准、规范。如具体采购需求与标准、规范不一致的，高于标准、规范的按具体采购需求执行；低于标准、规范的按标准、规范执行。供应商所提供的产品必须是全新、完好、无破损、未经使用的原装产品，产品符合制造厂家合格产品的出厂质量标准，且在正常安装、使用和保养条件下，其使用寿命期内各项指标均达到质量要求。</w:t>
      </w:r>
    </w:p>
    <w:p w14:paraId="145B839E">
      <w:pPr>
        <w:spacing w:line="400" w:lineRule="exact"/>
        <w:ind w:firstLine="420" w:firstLineChars="200"/>
        <w:rPr>
          <w:rFonts w:ascii="Arial" w:hAnsi="Arial" w:cs="Arial"/>
          <w:color w:val="auto"/>
          <w:szCs w:val="21"/>
        </w:rPr>
      </w:pPr>
      <w:r>
        <w:rPr>
          <w:rFonts w:hint="eastAsia" w:ascii="Arial" w:hAnsi="Arial" w:cs="Arial"/>
          <w:color w:val="auto"/>
          <w:szCs w:val="21"/>
        </w:rPr>
        <w:t>2）产品到货后，甲方现场根据</w:t>
      </w:r>
      <w:r>
        <w:rPr>
          <w:rFonts w:hint="eastAsia" w:ascii="Arial" w:hAnsi="Arial" w:cs="Arial"/>
          <w:color w:val="auto"/>
          <w:szCs w:val="21"/>
          <w:lang w:val="en-US" w:eastAsia="zh-CN"/>
        </w:rPr>
        <w:t>招标</w:t>
      </w:r>
      <w:r>
        <w:rPr>
          <w:rFonts w:hint="eastAsia" w:ascii="Arial" w:hAnsi="Arial" w:cs="Arial"/>
          <w:color w:val="auto"/>
          <w:szCs w:val="21"/>
        </w:rPr>
        <w:t>文件要求及</w:t>
      </w:r>
      <w:r>
        <w:rPr>
          <w:rFonts w:hint="eastAsia" w:ascii="Arial" w:hAnsi="Arial" w:cs="Arial"/>
          <w:color w:val="auto"/>
          <w:szCs w:val="21"/>
          <w:lang w:val="en-US" w:eastAsia="zh-CN"/>
        </w:rPr>
        <w:t>投标</w:t>
      </w:r>
      <w:r>
        <w:rPr>
          <w:rFonts w:hint="eastAsia" w:ascii="Arial" w:hAnsi="Arial" w:cs="Arial"/>
          <w:color w:val="auto"/>
          <w:szCs w:val="21"/>
        </w:rPr>
        <w:t>文件承诺逐条对应进行核验（含测试或试运行），核验不合格的，甲方有权不予验收，同时报相关监督管理部门，由此造成甲方经济损失的由乙方负责承担全部赔偿责任。</w:t>
      </w:r>
    </w:p>
    <w:p w14:paraId="23928472">
      <w:pPr>
        <w:spacing w:line="400" w:lineRule="exact"/>
        <w:ind w:firstLine="420" w:firstLineChars="200"/>
        <w:rPr>
          <w:rFonts w:ascii="Arial" w:hAnsi="Arial" w:cs="Arial"/>
          <w:color w:val="auto"/>
          <w:szCs w:val="21"/>
        </w:rPr>
      </w:pPr>
      <w:r>
        <w:rPr>
          <w:rFonts w:hint="eastAsia" w:ascii="Arial" w:hAnsi="Arial" w:cs="Arial"/>
          <w:color w:val="auto"/>
          <w:szCs w:val="21"/>
        </w:rPr>
        <w:t>3）因产品质量问题发生争议的，应邀请国家认可的质量检测机构对产品质量进行鉴定。产品符合标准的，鉴定费由甲方承担；产品不符合标准的，鉴定费由乙方承担。</w:t>
      </w:r>
    </w:p>
    <w:p w14:paraId="4831A4A4">
      <w:pPr>
        <w:spacing w:line="400" w:lineRule="exact"/>
        <w:ind w:firstLine="422" w:firstLineChars="200"/>
        <w:rPr>
          <w:rFonts w:ascii="Arial" w:hAnsi="Arial" w:cs="Arial"/>
          <w:b/>
          <w:bCs/>
          <w:color w:val="auto"/>
          <w:szCs w:val="21"/>
        </w:rPr>
      </w:pPr>
      <w:r>
        <w:rPr>
          <w:rFonts w:hint="eastAsia" w:ascii="Arial" w:hAnsi="Arial" w:cs="Arial"/>
          <w:b/>
          <w:bCs/>
          <w:color w:val="auto"/>
          <w:szCs w:val="21"/>
        </w:rPr>
        <w:t>3、验收程序及方法：</w:t>
      </w:r>
    </w:p>
    <w:p w14:paraId="238484A6">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）乙方履行完合同义务后，书面向甲方提交验收申请。</w:t>
      </w:r>
    </w:p>
    <w:p w14:paraId="5921F517">
      <w:pPr>
        <w:spacing w:line="400" w:lineRule="exact"/>
        <w:ind w:firstLine="420" w:firstLineChars="200"/>
        <w:rPr>
          <w:rFonts w:ascii="Arial" w:hAnsi="Arial" w:cs="Arial"/>
          <w:color w:val="auto"/>
          <w:szCs w:val="21"/>
        </w:rPr>
      </w:pPr>
      <w:r>
        <w:rPr>
          <w:rFonts w:ascii="Arial" w:hAnsi="Arial" w:cs="Arial"/>
          <w:color w:val="auto"/>
          <w:szCs w:val="21"/>
        </w:rPr>
        <w:t>2</w:t>
      </w:r>
      <w:r>
        <w:rPr>
          <w:rFonts w:hint="eastAsia" w:ascii="Arial" w:hAnsi="Arial" w:cs="Arial"/>
          <w:color w:val="auto"/>
          <w:szCs w:val="21"/>
        </w:rPr>
        <w:t>）甲方委托第三方机构组织项目验收的，其验收时间以该项目验收方案确定的验收时间为准。</w:t>
      </w:r>
    </w:p>
    <w:p w14:paraId="5E3692A8">
      <w:pPr>
        <w:spacing w:line="400" w:lineRule="exact"/>
        <w:ind w:firstLine="420" w:firstLineChars="200"/>
        <w:rPr>
          <w:rFonts w:ascii="Arial" w:hAnsi="Arial" w:cs="Arial"/>
          <w:color w:val="auto"/>
          <w:szCs w:val="21"/>
        </w:rPr>
      </w:pPr>
      <w:r>
        <w:rPr>
          <w:rFonts w:ascii="Arial" w:hAnsi="Arial" w:cs="Arial"/>
          <w:color w:val="auto"/>
          <w:szCs w:val="21"/>
        </w:rPr>
        <w:t>3</w:t>
      </w:r>
      <w:r>
        <w:rPr>
          <w:rFonts w:hint="eastAsia" w:ascii="Arial" w:hAnsi="Arial" w:cs="Arial"/>
          <w:color w:val="auto"/>
          <w:szCs w:val="21"/>
        </w:rPr>
        <w:t>）本项目验收由验收小组按照采购合同约定对每一项技术和商务要求的履约情况进行确认。</w:t>
      </w:r>
    </w:p>
    <w:p w14:paraId="001DAF4A">
      <w:pPr>
        <w:spacing w:line="400" w:lineRule="exact"/>
        <w:ind w:firstLine="420" w:firstLineChars="200"/>
        <w:rPr>
          <w:rFonts w:ascii="Arial" w:hAnsi="Arial" w:cs="Arial"/>
          <w:color w:val="auto"/>
          <w:szCs w:val="21"/>
        </w:rPr>
      </w:pPr>
      <w:r>
        <w:rPr>
          <w:rFonts w:ascii="Arial" w:hAnsi="Arial" w:cs="Arial"/>
          <w:color w:val="auto"/>
          <w:szCs w:val="21"/>
        </w:rPr>
        <w:t>4</w:t>
      </w:r>
      <w:r>
        <w:rPr>
          <w:rFonts w:hint="eastAsia" w:ascii="Arial" w:hAnsi="Arial" w:cs="Arial"/>
          <w:color w:val="auto"/>
          <w:szCs w:val="21"/>
        </w:rPr>
        <w:t>）验收结束后，验收小组出具采购验收书，验收书应当包括每一项技术和商务要求的履约情况，并列明项目总体评价，由验收小组、甲方和乙方共同签署。甲方委托第三方机构组织项目验收的，其验收结果以第三方机构出具验收结论为准，甲方和乙方共同签署确认。</w:t>
      </w:r>
    </w:p>
    <w:p w14:paraId="317B6344">
      <w:pPr>
        <w:spacing w:line="400" w:lineRule="exact"/>
        <w:ind w:firstLine="420" w:firstLineChars="200"/>
        <w:rPr>
          <w:rFonts w:ascii="Arial" w:hAnsi="Arial" w:cs="Arial"/>
          <w:color w:val="auto"/>
          <w:szCs w:val="21"/>
        </w:rPr>
      </w:pPr>
      <w:r>
        <w:rPr>
          <w:rFonts w:ascii="Arial" w:hAnsi="Arial" w:cs="Arial"/>
          <w:color w:val="auto"/>
          <w:szCs w:val="21"/>
        </w:rPr>
        <w:t>5</w:t>
      </w:r>
      <w:r>
        <w:rPr>
          <w:rFonts w:hint="eastAsia" w:ascii="Arial" w:hAnsi="Arial" w:cs="Arial"/>
          <w:color w:val="auto"/>
          <w:szCs w:val="21"/>
        </w:rPr>
        <w:t>）验收过程中所产生的一切费用均由乙方承担。</w:t>
      </w:r>
    </w:p>
    <w:p w14:paraId="320C9263">
      <w:pPr>
        <w:spacing w:line="400" w:lineRule="exact"/>
        <w:ind w:firstLine="420" w:firstLineChars="200"/>
        <w:rPr>
          <w:rFonts w:ascii="Arial" w:hAnsi="Arial" w:cs="Arial"/>
          <w:color w:val="auto"/>
          <w:szCs w:val="21"/>
        </w:rPr>
      </w:pPr>
      <w:r>
        <w:rPr>
          <w:rFonts w:ascii="Arial" w:hAnsi="Arial" w:cs="Arial"/>
          <w:color w:val="auto"/>
          <w:szCs w:val="21"/>
        </w:rPr>
        <w:t>6</w:t>
      </w:r>
      <w:r>
        <w:rPr>
          <w:rFonts w:hint="eastAsia" w:ascii="Arial" w:hAnsi="Arial" w:cs="Arial"/>
          <w:color w:val="auto"/>
          <w:szCs w:val="21"/>
        </w:rPr>
        <w:t>）验收书一式五份，甲乙双方各执二份、受托第三方机构一份（如有）。</w:t>
      </w:r>
    </w:p>
    <w:p w14:paraId="7D08107A">
      <w:pPr>
        <w:spacing w:line="400" w:lineRule="exact"/>
        <w:ind w:firstLine="420" w:firstLineChars="200"/>
        <w:rPr>
          <w:rFonts w:ascii="Arial" w:hAnsi="Arial" w:cs="Arial"/>
          <w:color w:val="auto"/>
          <w:szCs w:val="21"/>
        </w:rPr>
      </w:pPr>
      <w:r>
        <w:rPr>
          <w:rFonts w:ascii="Arial" w:hAnsi="Arial" w:cs="Arial"/>
          <w:color w:val="auto"/>
          <w:szCs w:val="21"/>
        </w:rPr>
        <w:t>7</w:t>
      </w:r>
      <w:r>
        <w:rPr>
          <w:rFonts w:hint="eastAsia" w:ascii="Arial" w:hAnsi="Arial" w:cs="Arial"/>
          <w:color w:val="auto"/>
          <w:szCs w:val="21"/>
        </w:rPr>
        <w:t>）验收结论不合格的，乙方应自收到验收书后</w:t>
      </w:r>
      <w:r>
        <w:rPr>
          <w:rFonts w:ascii="Arial" w:hAnsi="Arial" w:cs="Arial"/>
          <w:color w:val="auto"/>
          <w:szCs w:val="21"/>
        </w:rPr>
        <w:t>7</w:t>
      </w:r>
      <w:r>
        <w:rPr>
          <w:rFonts w:hint="eastAsia" w:ascii="Arial" w:hAnsi="Arial" w:cs="Arial"/>
          <w:color w:val="auto"/>
          <w:szCs w:val="21"/>
        </w:rPr>
        <w:t>日内及时予以解决。经乙方对验收结论不合格的货物进行整改后，仍然达不到要求的，甲方有权选择按以下办法之一处理：</w:t>
      </w:r>
    </w:p>
    <w:p w14:paraId="0372AC4A">
      <w:pPr>
        <w:spacing w:line="400" w:lineRule="exact"/>
        <w:ind w:firstLine="420" w:firstLineChars="200"/>
        <w:rPr>
          <w:rFonts w:ascii="Arial" w:hAnsi="Arial" w:cs="Arial"/>
          <w:color w:val="auto"/>
          <w:szCs w:val="21"/>
        </w:rPr>
      </w:pPr>
      <w:r>
        <w:rPr>
          <w:rFonts w:hint="eastAsia" w:ascii="Arial" w:hAnsi="Arial" w:cs="Arial"/>
          <w:color w:val="auto"/>
          <w:szCs w:val="21"/>
        </w:rPr>
        <w:t>①更换：由乙方承担所发生的全部费用。</w:t>
      </w:r>
    </w:p>
    <w:p w14:paraId="097E4C25">
      <w:pPr>
        <w:spacing w:line="400" w:lineRule="exact"/>
        <w:ind w:firstLine="420" w:firstLineChars="200"/>
        <w:rPr>
          <w:rFonts w:ascii="Arial" w:hAnsi="Arial" w:cs="Arial"/>
          <w:color w:val="auto"/>
          <w:szCs w:val="21"/>
        </w:rPr>
      </w:pPr>
      <w:r>
        <w:rPr>
          <w:rFonts w:hint="eastAsia" w:ascii="Arial" w:hAnsi="Arial" w:cs="Arial"/>
          <w:color w:val="auto"/>
          <w:szCs w:val="21"/>
        </w:rPr>
        <w:t>②贬值处理：由甲乙双方合议定价。</w:t>
      </w:r>
    </w:p>
    <w:p w14:paraId="7B0CF979">
      <w:pPr>
        <w:spacing w:line="400" w:lineRule="exact"/>
        <w:ind w:firstLine="420" w:firstLineChars="200"/>
        <w:rPr>
          <w:rFonts w:ascii="Arial" w:hAnsi="Arial" w:cs="Arial"/>
          <w:color w:val="auto"/>
          <w:szCs w:val="21"/>
        </w:rPr>
      </w:pPr>
      <w:r>
        <w:rPr>
          <w:rFonts w:hint="eastAsia" w:ascii="Arial" w:hAnsi="Arial" w:cs="Arial"/>
          <w:color w:val="auto"/>
          <w:szCs w:val="21"/>
        </w:rPr>
        <w:t>③退货处</w:t>
      </w:r>
      <w:r>
        <w:rPr>
          <w:rFonts w:ascii="Arial" w:hAnsi="Arial" w:cs="Arial"/>
          <w:color w:val="auto"/>
          <w:szCs w:val="21"/>
        </w:rPr>
        <w:t>理：乙方应退还甲方支付的合同款，同时应承担该货物的直接费用（运输、保险、检验、贷款利息及银行手续费等）</w:t>
      </w:r>
      <w:r>
        <w:rPr>
          <w:rFonts w:hint="eastAsia" w:ascii="Arial" w:hAnsi="Arial" w:cs="Arial"/>
          <w:color w:val="auto"/>
          <w:szCs w:val="21"/>
        </w:rPr>
        <w:t>和停用期间损失（按照每日【  】元计）</w:t>
      </w:r>
      <w:r>
        <w:rPr>
          <w:rFonts w:ascii="Arial" w:hAnsi="Arial" w:cs="Arial"/>
          <w:color w:val="auto"/>
          <w:szCs w:val="21"/>
        </w:rPr>
        <w:t>。</w:t>
      </w:r>
    </w:p>
    <w:p w14:paraId="2E49A2B3">
      <w:pPr>
        <w:spacing w:line="400" w:lineRule="exact"/>
        <w:ind w:firstLine="422" w:firstLineChars="200"/>
        <w:rPr>
          <w:rFonts w:ascii="Arial" w:hAnsi="Arial" w:cs="Arial"/>
          <w:b/>
          <w:bCs/>
          <w:color w:val="auto"/>
          <w:szCs w:val="21"/>
        </w:rPr>
      </w:pPr>
      <w:r>
        <w:rPr>
          <w:rFonts w:hint="eastAsia" w:ascii="Arial" w:hAnsi="Arial" w:cs="Arial"/>
          <w:b/>
          <w:bCs/>
          <w:color w:val="auto"/>
          <w:szCs w:val="21"/>
        </w:rPr>
        <w:t>4、交付标准和方法：</w:t>
      </w:r>
    </w:p>
    <w:p w14:paraId="260C14EF">
      <w:pPr>
        <w:spacing w:line="400" w:lineRule="exact"/>
        <w:ind w:firstLine="420" w:firstLineChars="200"/>
        <w:rPr>
          <w:rFonts w:ascii="Arial" w:hAnsi="Arial" w:cs="Arial"/>
          <w:color w:val="auto"/>
          <w:szCs w:val="21"/>
        </w:rPr>
      </w:pPr>
      <w:r>
        <w:rPr>
          <w:rFonts w:hint="eastAsia" w:ascii="Arial" w:hAnsi="Arial" w:cs="Arial"/>
          <w:color w:val="auto"/>
          <w:szCs w:val="21"/>
        </w:rPr>
        <w:t>（</w:t>
      </w:r>
      <w:r>
        <w:rPr>
          <w:rFonts w:ascii="Arial" w:hAnsi="Arial" w:cs="Arial"/>
          <w:color w:val="auto"/>
          <w:szCs w:val="21"/>
        </w:rPr>
        <w:t>1</w:t>
      </w:r>
      <w:r>
        <w:rPr>
          <w:rFonts w:hint="eastAsia" w:ascii="Arial" w:hAnsi="Arial" w:cs="Arial"/>
          <w:color w:val="auto"/>
          <w:szCs w:val="21"/>
        </w:rPr>
        <w:t>）除售后服务验收外，验收结论合格的，乙方应自收到验收书后</w:t>
      </w:r>
      <w:r>
        <w:rPr>
          <w:rFonts w:ascii="Arial" w:hAnsi="Arial" w:cs="Arial"/>
          <w:color w:val="auto"/>
          <w:szCs w:val="21"/>
        </w:rPr>
        <w:t>7</w:t>
      </w:r>
      <w:r>
        <w:rPr>
          <w:rFonts w:hint="eastAsia" w:ascii="Arial" w:hAnsi="Arial" w:cs="Arial"/>
          <w:color w:val="auto"/>
          <w:szCs w:val="21"/>
        </w:rPr>
        <w:t>日内向甲方交付使用。</w:t>
      </w:r>
    </w:p>
    <w:p w14:paraId="38805B8B">
      <w:pPr>
        <w:spacing w:line="400" w:lineRule="exact"/>
        <w:ind w:firstLine="420" w:firstLineChars="200"/>
        <w:rPr>
          <w:rFonts w:ascii="Arial" w:hAnsi="Arial" w:cs="Arial"/>
          <w:color w:val="auto"/>
          <w:szCs w:val="21"/>
        </w:rPr>
      </w:pPr>
      <w:r>
        <w:rPr>
          <w:rFonts w:hint="eastAsia" w:ascii="Arial" w:hAnsi="Arial" w:cs="Arial"/>
          <w:color w:val="auto"/>
          <w:szCs w:val="21"/>
        </w:rPr>
        <w:t>（</w:t>
      </w:r>
      <w:r>
        <w:rPr>
          <w:rFonts w:ascii="Arial" w:hAnsi="Arial" w:cs="Arial"/>
          <w:color w:val="auto"/>
          <w:szCs w:val="21"/>
        </w:rPr>
        <w:t>2</w:t>
      </w:r>
      <w:r>
        <w:rPr>
          <w:rFonts w:hint="eastAsia" w:ascii="Arial" w:hAnsi="Arial" w:cs="Arial"/>
          <w:color w:val="auto"/>
          <w:szCs w:val="21"/>
        </w:rPr>
        <w:t>）货物的所有权和风险自交付时起由乙方转移至甲方，货物交付给甲方之前所有风险均由乙方承担。</w:t>
      </w:r>
    </w:p>
    <w:p w14:paraId="51118EEE">
      <w:pPr>
        <w:spacing w:line="400" w:lineRule="exact"/>
        <w:ind w:firstLine="413" w:firstLineChars="196"/>
        <w:outlineLvl w:val="1"/>
        <w:rPr>
          <w:rFonts w:ascii="Arial" w:hAnsi="Arial" w:cs="Arial"/>
          <w:b/>
          <w:color w:val="auto"/>
          <w:szCs w:val="21"/>
        </w:rPr>
      </w:pPr>
      <w:r>
        <w:rPr>
          <w:rFonts w:ascii="Arial" w:hAnsi="Arial" w:cs="Arial"/>
          <w:b/>
          <w:color w:val="auto"/>
          <w:szCs w:val="21"/>
        </w:rPr>
        <w:t>第七条  安装和培训</w:t>
      </w:r>
    </w:p>
    <w:p w14:paraId="3E63DBC1">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甲方应提供必要安装条件（如场地、电源、水源等）。</w:t>
      </w:r>
    </w:p>
    <w:p w14:paraId="7EEABD26">
      <w:pPr>
        <w:spacing w:line="400" w:lineRule="exact"/>
        <w:ind w:firstLine="420" w:firstLineChars="200"/>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乙方负责甲方有关人员的培训。培训时间、地点：</w:t>
      </w:r>
      <w:r>
        <w:rPr>
          <w:rFonts w:ascii="Arial" w:hAnsi="Arial" w:cs="Arial"/>
          <w:color w:val="auto"/>
          <w:szCs w:val="21"/>
          <w:u w:val="single"/>
        </w:rPr>
        <w:t>广西桂林市采购人指定时间地点</w:t>
      </w:r>
      <w:r>
        <w:rPr>
          <w:rFonts w:ascii="Arial" w:hAnsi="Arial" w:cs="Arial"/>
          <w:color w:val="auto"/>
          <w:szCs w:val="21"/>
        </w:rPr>
        <w:t>。</w:t>
      </w:r>
    </w:p>
    <w:p w14:paraId="20D609CA">
      <w:pPr>
        <w:spacing w:line="400" w:lineRule="exact"/>
        <w:ind w:firstLine="413" w:firstLineChars="196"/>
        <w:outlineLvl w:val="1"/>
        <w:rPr>
          <w:rFonts w:ascii="Arial" w:hAnsi="Arial" w:cs="Arial"/>
          <w:b/>
          <w:color w:val="auto"/>
          <w:szCs w:val="21"/>
        </w:rPr>
      </w:pPr>
      <w:r>
        <w:rPr>
          <w:rFonts w:ascii="Arial" w:hAnsi="Arial" w:cs="Arial"/>
          <w:b/>
          <w:color w:val="auto"/>
          <w:szCs w:val="21"/>
        </w:rPr>
        <w:t>第八条  售后服务、保修期</w:t>
      </w:r>
    </w:p>
    <w:p w14:paraId="47E52ABA">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乙方应按照国家有关法律规定和“三包”规定以及</w:t>
      </w:r>
      <w:r>
        <w:rPr>
          <w:rFonts w:hint="eastAsia" w:ascii="Arial" w:hAnsi="Arial" w:cs="Arial"/>
          <w:color w:val="auto"/>
          <w:szCs w:val="21"/>
          <w:lang w:val="en-US" w:eastAsia="zh-CN"/>
        </w:rPr>
        <w:t>投标</w:t>
      </w:r>
      <w:r>
        <w:rPr>
          <w:rFonts w:hint="eastAsia" w:ascii="Arial" w:hAnsi="Arial" w:cs="Arial"/>
          <w:color w:val="auto"/>
          <w:szCs w:val="21"/>
        </w:rPr>
        <w:t>文件</w:t>
      </w:r>
      <w:r>
        <w:rPr>
          <w:rFonts w:ascii="Arial" w:hAnsi="Arial" w:cs="Arial"/>
          <w:color w:val="auto"/>
          <w:szCs w:val="21"/>
        </w:rPr>
        <w:t>和本合同所附的《服务承诺》，为甲方提供售后服务。</w:t>
      </w:r>
    </w:p>
    <w:p w14:paraId="4C58B556">
      <w:pPr>
        <w:spacing w:line="400" w:lineRule="exact"/>
        <w:ind w:firstLine="420" w:firstLineChars="200"/>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如在使用过程中发生质量问题，乙方在接到甲方通知后在</w:t>
      </w:r>
      <w:r>
        <w:rPr>
          <w:rFonts w:hint="eastAsia" w:ascii="Arial" w:hAnsi="Arial" w:cs="Arial"/>
          <w:color w:val="auto"/>
          <w:szCs w:val="21"/>
          <w:u w:val="single"/>
          <w:lang w:val="en-US" w:eastAsia="zh-CN"/>
        </w:rPr>
        <w:t>投标</w:t>
      </w:r>
      <w:r>
        <w:rPr>
          <w:rFonts w:hint="eastAsia" w:ascii="Arial" w:hAnsi="Arial" w:cs="Arial"/>
          <w:color w:val="auto"/>
          <w:szCs w:val="21"/>
          <w:u w:val="single"/>
        </w:rPr>
        <w:t>文件</w:t>
      </w:r>
      <w:r>
        <w:rPr>
          <w:rFonts w:ascii="Arial" w:hAnsi="Arial" w:cs="Arial"/>
          <w:color w:val="auto"/>
          <w:szCs w:val="21"/>
          <w:u w:val="single"/>
        </w:rPr>
        <w:t>承诺的时间</w:t>
      </w:r>
      <w:r>
        <w:rPr>
          <w:rFonts w:ascii="Arial" w:hAnsi="Arial" w:cs="Arial"/>
          <w:color w:val="auto"/>
          <w:szCs w:val="21"/>
        </w:rPr>
        <w:t>内到达甲方现场处理。</w:t>
      </w:r>
    </w:p>
    <w:p w14:paraId="76DED21F">
      <w:pPr>
        <w:spacing w:line="400" w:lineRule="exact"/>
        <w:ind w:firstLine="420" w:firstLineChars="200"/>
        <w:rPr>
          <w:rFonts w:ascii="Arial" w:hAnsi="Arial" w:cs="Arial"/>
          <w:color w:val="auto"/>
          <w:szCs w:val="21"/>
        </w:rPr>
      </w:pPr>
      <w:r>
        <w:rPr>
          <w:rFonts w:ascii="Arial" w:hAnsi="Arial" w:cs="Arial"/>
          <w:color w:val="auto"/>
          <w:szCs w:val="21"/>
        </w:rPr>
        <w:t>3</w:t>
      </w:r>
      <w:r>
        <w:rPr>
          <w:rFonts w:hint="eastAsia" w:ascii="Arial" w:hAnsi="Arial" w:cs="Arial"/>
          <w:color w:val="auto"/>
          <w:szCs w:val="21"/>
        </w:rPr>
        <w:t>、</w:t>
      </w:r>
      <w:r>
        <w:rPr>
          <w:rFonts w:ascii="Arial" w:hAnsi="Arial" w:cs="Arial"/>
          <w:color w:val="auto"/>
          <w:szCs w:val="21"/>
        </w:rPr>
        <w:t>在</w:t>
      </w:r>
      <w:r>
        <w:rPr>
          <w:rFonts w:hint="eastAsia" w:ascii="Arial" w:hAnsi="Arial" w:cs="Arial"/>
          <w:color w:val="auto"/>
          <w:szCs w:val="21"/>
          <w:lang w:eastAsia="zh-CN"/>
        </w:rPr>
        <w:t>保修期</w:t>
      </w:r>
      <w:r>
        <w:rPr>
          <w:rFonts w:ascii="Arial" w:hAnsi="Arial" w:cs="Arial"/>
          <w:color w:val="auto"/>
          <w:szCs w:val="21"/>
        </w:rPr>
        <w:t>内，乙方应对货物出现的质量及安全问题负责处理解决并承担一切费用。</w:t>
      </w:r>
    </w:p>
    <w:p w14:paraId="0AD80D69">
      <w:pPr>
        <w:spacing w:line="400" w:lineRule="exact"/>
        <w:ind w:firstLine="420" w:firstLineChars="200"/>
        <w:rPr>
          <w:rFonts w:ascii="Arial" w:hAnsi="Arial" w:cs="Arial"/>
          <w:color w:val="auto"/>
          <w:szCs w:val="21"/>
        </w:rPr>
      </w:pPr>
      <w:r>
        <w:rPr>
          <w:rFonts w:ascii="Arial" w:hAnsi="Arial" w:cs="Arial"/>
          <w:color w:val="auto"/>
          <w:szCs w:val="21"/>
        </w:rPr>
        <w:t>4</w:t>
      </w:r>
      <w:r>
        <w:rPr>
          <w:rFonts w:hint="eastAsia" w:ascii="Arial" w:hAnsi="Arial" w:cs="Arial"/>
          <w:color w:val="auto"/>
          <w:szCs w:val="21"/>
        </w:rPr>
        <w:t>、</w:t>
      </w:r>
      <w:r>
        <w:rPr>
          <w:rFonts w:ascii="Arial" w:hAnsi="Arial" w:cs="Arial"/>
          <w:color w:val="auto"/>
          <w:szCs w:val="21"/>
        </w:rPr>
        <w:t>货物免费保修（升级、维护）期限为</w:t>
      </w:r>
      <w:r>
        <w:rPr>
          <w:rFonts w:ascii="Arial" w:hAnsi="Arial" w:cs="Arial"/>
          <w:color w:val="auto"/>
          <w:szCs w:val="21"/>
          <w:u w:val="single"/>
        </w:rPr>
        <w:t>按乙方</w:t>
      </w:r>
      <w:r>
        <w:rPr>
          <w:rFonts w:hint="eastAsia" w:ascii="Arial" w:hAnsi="Arial" w:cs="Arial"/>
          <w:color w:val="auto"/>
          <w:szCs w:val="21"/>
          <w:u w:val="single"/>
          <w:lang w:val="en-US" w:eastAsia="zh-CN"/>
        </w:rPr>
        <w:t>投标</w:t>
      </w:r>
      <w:r>
        <w:rPr>
          <w:rFonts w:hint="eastAsia" w:ascii="Arial" w:hAnsi="Arial" w:cs="Arial"/>
          <w:color w:val="auto"/>
          <w:szCs w:val="21"/>
          <w:u w:val="single"/>
        </w:rPr>
        <w:t>文件</w:t>
      </w:r>
      <w:r>
        <w:rPr>
          <w:rFonts w:ascii="Arial" w:hAnsi="Arial" w:cs="Arial"/>
          <w:color w:val="auto"/>
          <w:szCs w:val="21"/>
          <w:u w:val="single"/>
        </w:rPr>
        <w:t>中承诺且不低于采购要求的时间</w:t>
      </w:r>
      <w:r>
        <w:rPr>
          <w:rFonts w:ascii="Arial" w:hAnsi="Arial" w:cs="Arial"/>
          <w:color w:val="auto"/>
          <w:szCs w:val="21"/>
        </w:rPr>
        <w:t>，因人为因素出现的故障不在免费保修范围内。超过保修期的货物，终生维修，维修时只收部件成本费。</w:t>
      </w:r>
    </w:p>
    <w:p w14:paraId="02E8776A">
      <w:pPr>
        <w:spacing w:line="400" w:lineRule="exact"/>
        <w:ind w:firstLine="413" w:firstLineChars="196"/>
        <w:outlineLvl w:val="1"/>
        <w:rPr>
          <w:rFonts w:ascii="Arial" w:hAnsi="Arial" w:cs="Arial"/>
          <w:b/>
          <w:color w:val="auto"/>
          <w:szCs w:val="21"/>
        </w:rPr>
      </w:pPr>
      <w:r>
        <w:rPr>
          <w:rFonts w:ascii="Arial" w:hAnsi="Arial" w:cs="Arial"/>
          <w:b/>
          <w:color w:val="auto"/>
          <w:szCs w:val="21"/>
        </w:rPr>
        <w:t>第九条  税费</w:t>
      </w:r>
    </w:p>
    <w:p w14:paraId="1E7AB414">
      <w:pPr>
        <w:spacing w:line="400" w:lineRule="exact"/>
        <w:ind w:firstLine="411" w:firstLineChars="196"/>
        <w:rPr>
          <w:rFonts w:ascii="Arial" w:hAnsi="Arial" w:cs="Arial"/>
          <w:color w:val="auto"/>
          <w:szCs w:val="21"/>
        </w:rPr>
      </w:pPr>
      <w:r>
        <w:rPr>
          <w:rFonts w:ascii="Arial" w:hAnsi="Arial" w:cs="Arial"/>
          <w:color w:val="auto"/>
          <w:szCs w:val="21"/>
        </w:rPr>
        <w:t>本合同执行中相关的一切税费均由乙方负担。</w:t>
      </w:r>
    </w:p>
    <w:p w14:paraId="09A3B675">
      <w:pPr>
        <w:spacing w:line="400" w:lineRule="exact"/>
        <w:ind w:firstLine="413" w:firstLineChars="196"/>
        <w:outlineLvl w:val="1"/>
        <w:rPr>
          <w:rFonts w:ascii="Arial" w:hAnsi="Arial" w:cs="Arial"/>
          <w:b/>
          <w:color w:val="auto"/>
          <w:szCs w:val="21"/>
        </w:rPr>
      </w:pPr>
      <w:r>
        <w:rPr>
          <w:rFonts w:ascii="Arial" w:hAnsi="Arial" w:cs="Arial"/>
          <w:b/>
          <w:color w:val="auto"/>
          <w:szCs w:val="21"/>
        </w:rPr>
        <w:t>第十条  付款方式</w:t>
      </w:r>
    </w:p>
    <w:p w14:paraId="2B6A93CE">
      <w:pPr>
        <w:spacing w:line="400" w:lineRule="exact"/>
        <w:ind w:firstLine="411" w:firstLineChars="196"/>
        <w:rPr>
          <w:rFonts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在交货验收合格、培训指导完成及设备正常使用后，</w:t>
      </w:r>
      <w:r>
        <w:rPr>
          <w:rFonts w:hint="eastAsia" w:ascii="Arial" w:hAnsi="Arial" w:eastAsia="宋体" w:cs="Arial"/>
          <w:color w:val="auto"/>
          <w:kern w:val="2"/>
          <w:sz w:val="21"/>
          <w:szCs w:val="21"/>
          <w:lang w:val="en-US" w:eastAsia="zh-CN" w:bidi="ar-SA"/>
        </w:rPr>
        <w:t>乙方</w:t>
      </w:r>
      <w:r>
        <w:rPr>
          <w:rFonts w:hint="default" w:ascii="Arial" w:hAnsi="Arial" w:eastAsia="宋体" w:cs="Arial"/>
          <w:color w:val="auto"/>
          <w:kern w:val="2"/>
          <w:sz w:val="21"/>
          <w:szCs w:val="21"/>
          <w:lang w:val="en-US" w:eastAsia="zh-CN" w:bidi="ar-SA"/>
        </w:rPr>
        <w:t>在3日内开具增值税专用发票给</w:t>
      </w:r>
      <w:r>
        <w:rPr>
          <w:rFonts w:hint="eastAsia" w:ascii="Arial" w:hAnsi="Arial" w:eastAsia="宋体" w:cs="Arial"/>
          <w:color w:val="auto"/>
          <w:kern w:val="2"/>
          <w:sz w:val="21"/>
          <w:szCs w:val="21"/>
          <w:lang w:val="en-US" w:eastAsia="zh-CN" w:bidi="ar-SA"/>
        </w:rPr>
        <w:t>甲方</w:t>
      </w:r>
      <w:r>
        <w:rPr>
          <w:rFonts w:hint="default" w:ascii="Arial" w:hAnsi="Arial" w:eastAsia="宋体" w:cs="Arial"/>
          <w:color w:val="auto"/>
          <w:kern w:val="2"/>
          <w:sz w:val="21"/>
          <w:szCs w:val="21"/>
          <w:lang w:val="en-US" w:eastAsia="zh-CN" w:bidi="ar-SA"/>
        </w:rPr>
        <w:t>，</w:t>
      </w:r>
      <w:r>
        <w:rPr>
          <w:rFonts w:hint="eastAsia" w:ascii="Arial" w:hAnsi="Arial" w:eastAsia="宋体" w:cs="Arial"/>
          <w:color w:val="auto"/>
          <w:kern w:val="2"/>
          <w:sz w:val="21"/>
          <w:szCs w:val="21"/>
          <w:lang w:val="en-US" w:eastAsia="zh-CN" w:bidi="ar-SA"/>
        </w:rPr>
        <w:t>甲方</w:t>
      </w:r>
      <w:r>
        <w:rPr>
          <w:rFonts w:hint="default" w:ascii="Arial" w:hAnsi="Arial" w:eastAsia="宋体" w:cs="Arial"/>
          <w:color w:val="auto"/>
          <w:kern w:val="2"/>
          <w:sz w:val="21"/>
          <w:szCs w:val="21"/>
          <w:lang w:val="en-US" w:eastAsia="zh-CN" w:bidi="ar-SA"/>
        </w:rPr>
        <w:t>收到增值税专用发票后30个工作日内支付100％的合同金额（无息）</w:t>
      </w:r>
      <w:r>
        <w:rPr>
          <w:rFonts w:hint="eastAsia" w:ascii="Arial" w:hAnsi="Arial" w:eastAsia="宋体" w:cs="Arial"/>
          <w:color w:val="auto"/>
          <w:kern w:val="2"/>
          <w:sz w:val="21"/>
          <w:szCs w:val="21"/>
          <w:lang w:val="en-US" w:eastAsia="zh-CN" w:bidi="ar-SA"/>
        </w:rPr>
        <w:t>。</w:t>
      </w:r>
    </w:p>
    <w:p w14:paraId="647026B7">
      <w:pPr>
        <w:spacing w:line="400" w:lineRule="exact"/>
        <w:ind w:firstLine="413" w:firstLineChars="196"/>
        <w:outlineLvl w:val="1"/>
        <w:rPr>
          <w:rFonts w:ascii="Arial" w:hAnsi="Arial" w:cs="Arial"/>
          <w:bCs/>
          <w:color w:val="auto"/>
          <w:szCs w:val="21"/>
        </w:rPr>
      </w:pPr>
      <w:r>
        <w:rPr>
          <w:rFonts w:ascii="Arial" w:hAnsi="Arial" w:cs="Arial"/>
          <w:b/>
          <w:color w:val="auto"/>
          <w:szCs w:val="21"/>
        </w:rPr>
        <w:t>第</w:t>
      </w:r>
      <w:r>
        <w:rPr>
          <w:rFonts w:hint="eastAsia" w:ascii="Arial" w:hAnsi="Arial" w:cs="Arial"/>
          <w:b/>
          <w:color w:val="auto"/>
          <w:szCs w:val="21"/>
        </w:rPr>
        <w:t>十一</w:t>
      </w:r>
      <w:r>
        <w:rPr>
          <w:rFonts w:ascii="Arial" w:hAnsi="Arial" w:cs="Arial"/>
          <w:b/>
          <w:color w:val="auto"/>
          <w:szCs w:val="21"/>
        </w:rPr>
        <w:t>条 履约保证金</w:t>
      </w:r>
    </w:p>
    <w:p w14:paraId="6EBC4150">
      <w:pPr>
        <w:snapToGrid w:val="0"/>
        <w:spacing w:line="400" w:lineRule="exact"/>
        <w:ind w:firstLine="422" w:firstLineChars="200"/>
        <w:rPr>
          <w:rFonts w:ascii="Times New Roman" w:hAnsi="Times New Roman" w:cs="宋体"/>
          <w:i/>
          <w:iCs/>
          <w:color w:val="auto"/>
          <w:szCs w:val="21"/>
        </w:rPr>
      </w:pPr>
      <w:r>
        <w:rPr>
          <w:rFonts w:hint="eastAsia" w:ascii="Times New Roman" w:hAnsi="Times New Roman" w:cs="宋体"/>
          <w:b/>
          <w:bCs/>
          <w:color w:val="auto"/>
          <w:szCs w:val="21"/>
        </w:rPr>
        <w:t>1.履约保证金金额：合同金额的5%（中标人为中小微企业时为中标金额的2%）。</w:t>
      </w:r>
    </w:p>
    <w:p w14:paraId="46FB1020">
      <w:pPr>
        <w:snapToGrid w:val="0"/>
        <w:spacing w:line="400" w:lineRule="exact"/>
        <w:ind w:firstLine="422" w:firstLineChars="200"/>
        <w:rPr>
          <w:rFonts w:ascii="Times New Roman" w:hAnsi="Times New Roman" w:cs="宋体"/>
          <w:color w:val="auto"/>
          <w:szCs w:val="21"/>
        </w:rPr>
      </w:pPr>
      <w:r>
        <w:rPr>
          <w:rFonts w:hint="eastAsia" w:ascii="Times New Roman" w:hAnsi="Times New Roman" w:cs="宋体"/>
          <w:b/>
          <w:bCs/>
          <w:color w:val="auto"/>
          <w:szCs w:val="21"/>
        </w:rPr>
        <w:t>2.履约保证金递交方式：</w:t>
      </w:r>
      <w:r>
        <w:rPr>
          <w:rFonts w:hint="eastAsia" w:ascii="Times New Roman" w:hAnsi="Times New Roman" w:cs="宋体"/>
          <w:color w:val="auto"/>
          <w:szCs w:val="21"/>
        </w:rPr>
        <w:t>乙方在</w:t>
      </w:r>
      <w:r>
        <w:rPr>
          <w:rFonts w:hint="eastAsia" w:ascii="Times New Roman" w:hAnsi="Times New Roman" w:cs="宋体"/>
          <w:color w:val="auto"/>
          <w:kern w:val="0"/>
          <w:szCs w:val="21"/>
          <w:u w:val="single"/>
        </w:rPr>
        <w:t>签订合同</w:t>
      </w:r>
      <w:r>
        <w:rPr>
          <w:rFonts w:hint="eastAsia" w:ascii="Times New Roman" w:hAnsi="Times New Roman" w:cs="宋体"/>
          <w:color w:val="auto"/>
          <w:szCs w:val="21"/>
          <w:u w:val="single"/>
        </w:rPr>
        <w:t>前</w:t>
      </w:r>
      <w:r>
        <w:rPr>
          <w:rFonts w:hint="eastAsia" w:ascii="Times New Roman" w:hAnsi="Times New Roman" w:cs="宋体"/>
          <w:color w:val="auto"/>
          <w:szCs w:val="21"/>
        </w:rPr>
        <w:t>以银行转账、支票、汇票、本票或者金融机构、担保机构出具的保函等非现金方式向</w:t>
      </w:r>
      <w:r>
        <w:rPr>
          <w:rFonts w:hint="eastAsia" w:ascii="Times New Roman" w:hAnsi="Times New Roman" w:cs="宋体"/>
          <w:color w:val="auto"/>
          <w:szCs w:val="21"/>
          <w:u w:val="single"/>
        </w:rPr>
        <w:t>甲方</w:t>
      </w:r>
      <w:r>
        <w:rPr>
          <w:rFonts w:hint="eastAsia" w:ascii="Times New Roman" w:hAnsi="Times New Roman" w:cs="宋体"/>
          <w:color w:val="auto"/>
          <w:szCs w:val="21"/>
        </w:rPr>
        <w:t>提交。</w:t>
      </w:r>
    </w:p>
    <w:p w14:paraId="35AE5131">
      <w:pPr>
        <w:snapToGrid w:val="0"/>
        <w:spacing w:line="400" w:lineRule="exact"/>
        <w:ind w:firstLine="420" w:firstLineChars="200"/>
        <w:rPr>
          <w:rFonts w:ascii="Times New Roman" w:hAnsi="Times New Roman" w:cs="宋体"/>
          <w:color w:val="auto"/>
          <w:szCs w:val="21"/>
        </w:rPr>
      </w:pPr>
      <w:r>
        <w:rPr>
          <w:rFonts w:hint="eastAsia" w:ascii="Times New Roman" w:hAnsi="Times New Roman" w:cs="宋体"/>
          <w:color w:val="auto"/>
          <w:szCs w:val="21"/>
        </w:rPr>
        <w:t>（1）履约保证金采用银行转账交纳方式的，乙方在签订合同前交至</w:t>
      </w:r>
      <w:r>
        <w:rPr>
          <w:rFonts w:hint="eastAsia" w:cs="宋体"/>
          <w:color w:val="auto"/>
          <w:szCs w:val="21"/>
          <w:lang w:val="en-US" w:eastAsia="zh-CN"/>
        </w:rPr>
        <w:t>甲方</w:t>
      </w:r>
      <w:r>
        <w:rPr>
          <w:rFonts w:hint="eastAsia" w:ascii="Times New Roman" w:hAnsi="Times New Roman" w:cs="宋体"/>
          <w:color w:val="auto"/>
          <w:szCs w:val="21"/>
        </w:rPr>
        <w:t>指定账户并且到账。</w:t>
      </w:r>
    </w:p>
    <w:p w14:paraId="18B92D9D">
      <w:pPr>
        <w:snapToGrid w:val="0"/>
        <w:spacing w:line="400" w:lineRule="exact"/>
        <w:ind w:firstLine="420" w:firstLineChars="200"/>
        <w:rPr>
          <w:rFonts w:ascii="Times New Roman" w:hAnsi="Times New Roman" w:cs="宋体"/>
          <w:color w:val="auto"/>
          <w:szCs w:val="21"/>
        </w:rPr>
      </w:pPr>
      <w:r>
        <w:rPr>
          <w:rFonts w:hint="eastAsia" w:ascii="Times New Roman" w:hAnsi="Times New Roman" w:cs="宋体"/>
          <w:color w:val="auto"/>
          <w:szCs w:val="21"/>
        </w:rPr>
        <w:t>（2）履约保证金采用支票、汇票或本票交纳方式的，乙方在签订合同前，向</w:t>
      </w:r>
      <w:r>
        <w:rPr>
          <w:rFonts w:hint="eastAsia" w:cs="宋体"/>
          <w:color w:val="auto"/>
          <w:szCs w:val="21"/>
          <w:lang w:val="en-US" w:eastAsia="zh-CN"/>
        </w:rPr>
        <w:t>甲方</w:t>
      </w:r>
      <w:r>
        <w:rPr>
          <w:rFonts w:hint="eastAsia" w:ascii="Times New Roman" w:hAnsi="Times New Roman" w:cs="宋体"/>
          <w:color w:val="auto"/>
          <w:szCs w:val="21"/>
        </w:rPr>
        <w:t>提交支票、汇票或本票原件。</w:t>
      </w:r>
    </w:p>
    <w:p w14:paraId="1704EA82">
      <w:pPr>
        <w:snapToGrid w:val="0"/>
        <w:spacing w:line="400" w:lineRule="exact"/>
        <w:ind w:firstLine="420" w:firstLineChars="200"/>
        <w:rPr>
          <w:rFonts w:ascii="Times New Roman" w:hAnsi="Times New Roman" w:cs="宋体"/>
          <w:color w:val="auto"/>
          <w:szCs w:val="21"/>
        </w:rPr>
      </w:pPr>
      <w:r>
        <w:rPr>
          <w:rFonts w:hint="eastAsia" w:ascii="Times New Roman" w:hAnsi="Times New Roman" w:cs="宋体"/>
          <w:color w:val="auto"/>
          <w:szCs w:val="21"/>
        </w:rPr>
        <w:t>（3）履约保证金采用银行、保险机构出具的保函交纳方式的，乙方在签订合同前，向</w:t>
      </w:r>
      <w:r>
        <w:rPr>
          <w:rFonts w:hint="eastAsia" w:cs="宋体"/>
          <w:color w:val="auto"/>
          <w:szCs w:val="21"/>
          <w:lang w:val="en-US" w:eastAsia="zh-CN"/>
        </w:rPr>
        <w:t>甲方</w:t>
      </w:r>
      <w:r>
        <w:rPr>
          <w:rFonts w:hint="eastAsia" w:ascii="Times New Roman" w:hAnsi="Times New Roman" w:cs="宋体"/>
          <w:color w:val="auto"/>
          <w:szCs w:val="21"/>
        </w:rPr>
        <w:t>提交保函原件。</w:t>
      </w:r>
    </w:p>
    <w:p w14:paraId="01B4A265">
      <w:pPr>
        <w:snapToGrid w:val="0"/>
        <w:spacing w:line="400" w:lineRule="exact"/>
        <w:ind w:firstLine="420" w:firstLineChars="200"/>
        <w:rPr>
          <w:rFonts w:ascii="Times New Roman" w:hAnsi="Times New Roman" w:cs="宋体"/>
          <w:color w:val="auto"/>
          <w:szCs w:val="21"/>
        </w:rPr>
      </w:pPr>
      <w:r>
        <w:rPr>
          <w:rFonts w:hint="eastAsia" w:ascii="Times New Roman" w:hAnsi="Times New Roman" w:cs="宋体"/>
          <w:color w:val="auto"/>
          <w:szCs w:val="21"/>
        </w:rPr>
        <w:t>（4）履约保证金指定账户</w:t>
      </w:r>
    </w:p>
    <w:p w14:paraId="68B7322A">
      <w:pPr>
        <w:snapToGrid w:val="0"/>
        <w:spacing w:line="400" w:lineRule="exact"/>
        <w:ind w:firstLine="630" w:firstLineChars="300"/>
        <w:rPr>
          <w:rFonts w:ascii="Times New Roman" w:hAnsi="Times New Roman" w:cs="宋体"/>
          <w:color w:val="auto"/>
          <w:szCs w:val="21"/>
        </w:rPr>
      </w:pPr>
      <w:r>
        <w:rPr>
          <w:rFonts w:ascii="Times New Roman" w:hAnsi="Times New Roman" w:cs="宋体"/>
          <w:color w:val="auto"/>
          <w:szCs w:val="21"/>
        </w:rPr>
        <w:t>开户名称：广西师范大学</w:t>
      </w:r>
    </w:p>
    <w:p w14:paraId="4F3CB233">
      <w:pPr>
        <w:snapToGrid w:val="0"/>
        <w:spacing w:line="400" w:lineRule="exact"/>
        <w:ind w:firstLine="630" w:firstLineChars="300"/>
        <w:rPr>
          <w:rFonts w:ascii="Times New Roman" w:hAnsi="Times New Roman" w:cs="宋体"/>
          <w:color w:val="auto"/>
          <w:szCs w:val="21"/>
        </w:rPr>
      </w:pPr>
      <w:r>
        <w:rPr>
          <w:rFonts w:ascii="Times New Roman" w:hAnsi="Times New Roman" w:cs="宋体"/>
          <w:color w:val="auto"/>
          <w:szCs w:val="21"/>
        </w:rPr>
        <w:t>开户银行：中国工商银行股份有限公司桂林市高新科技支行</w:t>
      </w:r>
    </w:p>
    <w:p w14:paraId="5C23DD7A">
      <w:pPr>
        <w:snapToGrid w:val="0"/>
        <w:spacing w:line="400" w:lineRule="exact"/>
        <w:ind w:firstLine="630" w:firstLineChars="300"/>
        <w:rPr>
          <w:rFonts w:ascii="Times New Roman" w:hAnsi="Times New Roman" w:cs="宋体"/>
          <w:color w:val="auto"/>
          <w:szCs w:val="21"/>
        </w:rPr>
      </w:pPr>
      <w:r>
        <w:rPr>
          <w:rFonts w:ascii="Times New Roman" w:hAnsi="Times New Roman" w:cs="宋体"/>
          <w:color w:val="auto"/>
          <w:szCs w:val="21"/>
        </w:rPr>
        <w:t>账    号：2103215109264004618</w:t>
      </w:r>
    </w:p>
    <w:p w14:paraId="6E5ACE48">
      <w:pPr>
        <w:snapToGrid w:val="0"/>
        <w:spacing w:line="400" w:lineRule="exact"/>
        <w:ind w:firstLine="422" w:firstLineChars="200"/>
        <w:rPr>
          <w:rFonts w:ascii="Times New Roman" w:hAnsi="Times New Roman" w:cs="宋体"/>
          <w:color w:val="auto"/>
          <w:szCs w:val="21"/>
        </w:rPr>
      </w:pPr>
      <w:r>
        <w:rPr>
          <w:rFonts w:hint="eastAsia" w:ascii="Times New Roman" w:hAnsi="Times New Roman" w:cs="宋体"/>
          <w:b/>
          <w:bCs/>
          <w:color w:val="auto"/>
          <w:szCs w:val="21"/>
        </w:rPr>
        <w:t>3.履约保证金退付方式、时间及条件：</w:t>
      </w:r>
    </w:p>
    <w:p w14:paraId="4F555352">
      <w:pPr>
        <w:snapToGrid w:val="0"/>
        <w:spacing w:line="400" w:lineRule="exact"/>
        <w:ind w:firstLine="420" w:firstLineChars="200"/>
        <w:rPr>
          <w:rFonts w:ascii="Times New Roman" w:hAnsi="Times New Roman" w:cs="宋体"/>
          <w:color w:val="auto"/>
          <w:szCs w:val="21"/>
        </w:rPr>
      </w:pPr>
      <w:r>
        <w:rPr>
          <w:rFonts w:hint="eastAsia" w:ascii="Times New Roman" w:hAnsi="Times New Roman" w:cs="宋体"/>
          <w:color w:val="auto"/>
          <w:szCs w:val="21"/>
        </w:rPr>
        <w:t>（1）</w:t>
      </w:r>
      <w:r>
        <w:rPr>
          <w:rStyle w:val="30"/>
          <w:rFonts w:hint="eastAsia" w:ascii="Times New Roman" w:hAnsi="Times New Roman"/>
          <w:color w:val="auto"/>
        </w:rPr>
        <w:t>履约保证金在乙方履行完合同约定的权利义务（包括免费保修服务等）事项后7个工作日内，由乙方凭履约保证金的申请表向</w:t>
      </w:r>
      <w:r>
        <w:rPr>
          <w:rStyle w:val="30"/>
          <w:rFonts w:hint="eastAsia"/>
          <w:color w:val="auto"/>
          <w:lang w:val="en-US" w:eastAsia="zh-CN"/>
        </w:rPr>
        <w:t>甲方</w:t>
      </w:r>
      <w:r>
        <w:rPr>
          <w:rStyle w:val="30"/>
          <w:rFonts w:hint="eastAsia" w:ascii="Times New Roman" w:hAnsi="Times New Roman"/>
          <w:color w:val="auto"/>
        </w:rPr>
        <w:t>申请办理履约保证金退还手续，</w:t>
      </w:r>
      <w:r>
        <w:rPr>
          <w:rStyle w:val="30"/>
          <w:rFonts w:hint="eastAsia"/>
          <w:color w:val="auto"/>
          <w:lang w:val="en-US" w:eastAsia="zh-CN"/>
        </w:rPr>
        <w:t>甲方</w:t>
      </w:r>
      <w:r>
        <w:rPr>
          <w:rStyle w:val="30"/>
          <w:rFonts w:hint="eastAsia" w:ascii="Times New Roman" w:hAnsi="Times New Roman"/>
          <w:color w:val="auto"/>
        </w:rPr>
        <w:t>在收到合格材料后5个工作日内</w:t>
      </w:r>
      <w:r>
        <w:rPr>
          <w:rStyle w:val="30"/>
          <w:rFonts w:hint="eastAsia" w:ascii="Times New Roman" w:hAnsi="Times New Roman"/>
          <w:color w:val="auto"/>
          <w:lang w:eastAsia="zh-CN"/>
        </w:rPr>
        <w:t>办理履约保证金退付手续</w:t>
      </w:r>
      <w:r>
        <w:rPr>
          <w:rStyle w:val="30"/>
          <w:rFonts w:hint="eastAsia" w:ascii="Times New Roman" w:hAnsi="Times New Roman"/>
          <w:color w:val="auto"/>
        </w:rPr>
        <w:t>（不计利息）。</w:t>
      </w:r>
    </w:p>
    <w:p w14:paraId="5EB4C57C">
      <w:pPr>
        <w:snapToGrid w:val="0"/>
        <w:spacing w:line="400" w:lineRule="exact"/>
        <w:ind w:firstLine="420" w:firstLineChars="200"/>
        <w:rPr>
          <w:rFonts w:ascii="Times New Roman" w:hAnsi="Times New Roman" w:cs="宋体"/>
          <w:color w:val="auto"/>
          <w:szCs w:val="21"/>
        </w:rPr>
      </w:pPr>
      <w:r>
        <w:rPr>
          <w:rFonts w:hint="eastAsia" w:ascii="Times New Roman" w:hAnsi="Times New Roman" w:cs="宋体"/>
          <w:color w:val="auto"/>
          <w:szCs w:val="21"/>
        </w:rPr>
        <w:t>（2）乙方在签订合同后存在违约情形的，履约保证金或保函原件不予退还。保函形式的</w:t>
      </w:r>
      <w:r>
        <w:rPr>
          <w:rFonts w:hint="eastAsia" w:cs="宋体"/>
          <w:color w:val="auto"/>
          <w:szCs w:val="21"/>
          <w:lang w:val="en-US" w:eastAsia="zh-CN"/>
        </w:rPr>
        <w:t>甲方</w:t>
      </w:r>
      <w:r>
        <w:rPr>
          <w:rFonts w:hint="eastAsia" w:ascii="Times New Roman" w:hAnsi="Times New Roman" w:cs="宋体"/>
          <w:color w:val="auto"/>
          <w:szCs w:val="21"/>
        </w:rPr>
        <w:t>按相关规定由出具保函的银行、保险机构承担乙方违约赔付责任，履约保证金不足以赔偿损失的，按实际损失赔偿。</w:t>
      </w:r>
    </w:p>
    <w:p w14:paraId="1EE4F232">
      <w:pPr>
        <w:snapToGrid w:val="0"/>
        <w:spacing w:line="400" w:lineRule="exact"/>
        <w:ind w:firstLine="420" w:firstLineChars="200"/>
        <w:rPr>
          <w:rFonts w:ascii="Times New Roman" w:hAnsi="Times New Roman" w:cs="宋体"/>
          <w:color w:val="auto"/>
          <w:szCs w:val="21"/>
        </w:rPr>
      </w:pPr>
      <w:r>
        <w:rPr>
          <w:rFonts w:hint="eastAsia" w:ascii="Times New Roman" w:hAnsi="Times New Roman" w:cs="宋体"/>
          <w:color w:val="auto"/>
          <w:szCs w:val="21"/>
        </w:rPr>
        <w:t>（3）在履约保证金退还日期前，若乙方的开户名称、开户银行、账号有变动的，请以书面形式通知履约保证金收取单位，否则由此产生的后果由乙方自负。</w:t>
      </w:r>
    </w:p>
    <w:p w14:paraId="359F0DDB">
      <w:pPr>
        <w:spacing w:line="400" w:lineRule="exact"/>
        <w:ind w:firstLine="411" w:firstLineChars="196"/>
        <w:rPr>
          <w:rFonts w:ascii="Arial" w:hAnsi="Arial" w:cs="Arial"/>
          <w:bCs/>
          <w:color w:val="auto"/>
          <w:szCs w:val="21"/>
        </w:rPr>
      </w:pPr>
      <w:r>
        <w:rPr>
          <w:rFonts w:hint="eastAsia" w:ascii="Times New Roman" w:hAnsi="Times New Roman" w:cs="Arial"/>
          <w:bCs/>
          <w:color w:val="auto"/>
          <w:szCs w:val="21"/>
        </w:rPr>
        <w:t>（4）履约</w:t>
      </w:r>
      <w:r>
        <w:rPr>
          <w:rFonts w:ascii="Times New Roman" w:hAnsi="Times New Roman" w:cs="Arial"/>
          <w:bCs/>
          <w:color w:val="auto"/>
          <w:szCs w:val="21"/>
        </w:rPr>
        <w:t>保证金采用保函形式缴纳的，</w:t>
      </w:r>
      <w:r>
        <w:rPr>
          <w:rFonts w:hint="eastAsia" w:cs="Arial"/>
          <w:bCs/>
          <w:color w:val="auto"/>
          <w:szCs w:val="21"/>
          <w:lang w:val="en-US" w:eastAsia="zh-CN"/>
        </w:rPr>
        <w:t>甲方</w:t>
      </w:r>
      <w:r>
        <w:rPr>
          <w:rFonts w:ascii="Times New Roman" w:hAnsi="Times New Roman" w:cs="Arial"/>
          <w:bCs/>
          <w:color w:val="auto"/>
          <w:szCs w:val="21"/>
        </w:rPr>
        <w:t>在保证期限届满后及时对收取的保证金进行核实和结算。</w:t>
      </w:r>
    </w:p>
    <w:p w14:paraId="67CB9CB5">
      <w:pPr>
        <w:spacing w:line="400" w:lineRule="exact"/>
        <w:ind w:firstLine="413" w:firstLineChars="196"/>
        <w:outlineLvl w:val="1"/>
        <w:rPr>
          <w:rFonts w:ascii="Arial" w:hAnsi="Arial" w:cs="Arial"/>
          <w:b/>
          <w:color w:val="auto"/>
          <w:szCs w:val="21"/>
        </w:rPr>
      </w:pPr>
      <w:r>
        <w:rPr>
          <w:rFonts w:ascii="Arial" w:hAnsi="Arial" w:cs="Arial"/>
          <w:b/>
          <w:color w:val="auto"/>
          <w:szCs w:val="21"/>
        </w:rPr>
        <w:t>第十</w:t>
      </w:r>
      <w:r>
        <w:rPr>
          <w:rFonts w:hint="eastAsia" w:ascii="Arial" w:hAnsi="Arial" w:cs="Arial"/>
          <w:b/>
          <w:color w:val="auto"/>
          <w:szCs w:val="21"/>
        </w:rPr>
        <w:t>二</w:t>
      </w:r>
      <w:r>
        <w:rPr>
          <w:rFonts w:ascii="Arial" w:hAnsi="Arial" w:cs="Arial"/>
          <w:b/>
          <w:color w:val="auto"/>
          <w:szCs w:val="21"/>
        </w:rPr>
        <w:t>条  违约责任</w:t>
      </w:r>
    </w:p>
    <w:p w14:paraId="0C4DBCAF">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乙方所提供的货物规格、技术标准、材料等质量不合格的，应及时更换，更换不及时</w:t>
      </w:r>
      <w:r>
        <w:rPr>
          <w:rFonts w:hint="eastAsia" w:ascii="Arial" w:hAnsi="Arial" w:cs="Arial"/>
          <w:color w:val="auto"/>
          <w:szCs w:val="21"/>
        </w:rPr>
        <w:t>造成逾期交货的</w:t>
      </w:r>
      <w:r>
        <w:rPr>
          <w:rFonts w:ascii="Arial" w:hAnsi="Arial" w:cs="Arial"/>
          <w:color w:val="auto"/>
          <w:szCs w:val="21"/>
        </w:rPr>
        <w:t>，乙方应</w:t>
      </w:r>
      <w:r>
        <w:rPr>
          <w:rFonts w:hint="eastAsia" w:ascii="Arial" w:hAnsi="Arial" w:cs="Arial"/>
          <w:color w:val="auto"/>
          <w:szCs w:val="21"/>
        </w:rPr>
        <w:t>每日</w:t>
      </w:r>
      <w:r>
        <w:rPr>
          <w:rFonts w:ascii="Arial" w:hAnsi="Arial" w:cs="Arial"/>
          <w:color w:val="auto"/>
          <w:szCs w:val="21"/>
        </w:rPr>
        <w:t>向甲方支付合同金额</w:t>
      </w:r>
      <w:r>
        <w:rPr>
          <w:rFonts w:hint="eastAsia" w:ascii="Arial" w:hAnsi="Arial" w:cs="Arial"/>
          <w:color w:val="auto"/>
          <w:szCs w:val="21"/>
          <w:u w:val="single"/>
        </w:rPr>
        <w:t>0.02</w:t>
      </w:r>
      <w:r>
        <w:rPr>
          <w:rFonts w:ascii="Arial" w:hAnsi="Arial" w:cs="Arial"/>
          <w:color w:val="auto"/>
          <w:szCs w:val="21"/>
        </w:rPr>
        <w:t>%违约金并赔偿甲方经济损失。</w:t>
      </w:r>
    </w:p>
    <w:p w14:paraId="3DEB6722">
      <w:pPr>
        <w:spacing w:line="400" w:lineRule="exact"/>
        <w:ind w:firstLine="359" w:firstLineChars="171"/>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乙方提供的货物如果侵犯了第三方合法权益而引发的任何纠纷或诉讼，均由乙方负责交涉并承担全部责任。</w:t>
      </w:r>
    </w:p>
    <w:p w14:paraId="0B2DB899">
      <w:pPr>
        <w:spacing w:line="400" w:lineRule="exact"/>
        <w:ind w:firstLine="420" w:firstLineChars="200"/>
        <w:rPr>
          <w:rFonts w:ascii="Arial" w:hAnsi="Arial" w:cs="Arial"/>
          <w:color w:val="auto"/>
          <w:szCs w:val="21"/>
        </w:rPr>
      </w:pPr>
      <w:r>
        <w:rPr>
          <w:rFonts w:ascii="Arial" w:hAnsi="Arial" w:cs="Arial"/>
          <w:color w:val="auto"/>
          <w:szCs w:val="21"/>
        </w:rPr>
        <w:t>3</w:t>
      </w:r>
      <w:r>
        <w:rPr>
          <w:rFonts w:hint="eastAsia" w:ascii="Arial" w:hAnsi="Arial" w:cs="Arial"/>
          <w:color w:val="auto"/>
          <w:szCs w:val="21"/>
        </w:rPr>
        <w:t>、</w:t>
      </w:r>
      <w:r>
        <w:rPr>
          <w:rFonts w:ascii="Arial" w:hAnsi="Arial" w:cs="Arial"/>
          <w:color w:val="auto"/>
          <w:szCs w:val="21"/>
        </w:rPr>
        <w:t>因包装、运输引起的货物损坏，按质量不合格处理。</w:t>
      </w:r>
    </w:p>
    <w:p w14:paraId="7B7EAA07">
      <w:pPr>
        <w:spacing w:line="400" w:lineRule="exact"/>
        <w:ind w:firstLine="420" w:firstLineChars="200"/>
        <w:rPr>
          <w:rFonts w:ascii="Arial" w:hAnsi="Arial" w:cs="Arial"/>
          <w:color w:val="auto"/>
          <w:szCs w:val="21"/>
        </w:rPr>
      </w:pPr>
      <w:r>
        <w:rPr>
          <w:rFonts w:ascii="Arial" w:hAnsi="Arial" w:cs="Arial"/>
          <w:color w:val="auto"/>
          <w:szCs w:val="21"/>
        </w:rPr>
        <w:t>4</w:t>
      </w:r>
      <w:r>
        <w:rPr>
          <w:rFonts w:hint="eastAsia" w:ascii="Arial" w:hAnsi="Arial" w:cs="Arial"/>
          <w:color w:val="auto"/>
          <w:szCs w:val="21"/>
        </w:rPr>
        <w:t>、</w:t>
      </w:r>
      <w:r>
        <w:rPr>
          <w:rFonts w:ascii="Arial" w:hAnsi="Arial" w:cs="Arial"/>
          <w:color w:val="auto"/>
          <w:szCs w:val="21"/>
        </w:rPr>
        <w:t>乙方逾期交货</w:t>
      </w:r>
      <w:r>
        <w:rPr>
          <w:rFonts w:hint="eastAsia" w:ascii="Arial" w:hAnsi="Arial" w:cs="Arial"/>
          <w:color w:val="auto"/>
          <w:szCs w:val="21"/>
        </w:rPr>
        <w:t>、逾期完成安装调试申请验收</w:t>
      </w:r>
      <w:r>
        <w:rPr>
          <w:rFonts w:ascii="Arial" w:hAnsi="Arial" w:cs="Arial"/>
          <w:color w:val="auto"/>
          <w:szCs w:val="21"/>
        </w:rPr>
        <w:t>的，每天向</w:t>
      </w:r>
      <w:r>
        <w:rPr>
          <w:rFonts w:hint="eastAsia" w:ascii="Arial" w:hAnsi="Arial" w:cs="Arial"/>
          <w:color w:val="auto"/>
          <w:szCs w:val="21"/>
        </w:rPr>
        <w:t>甲方</w:t>
      </w:r>
      <w:r>
        <w:rPr>
          <w:rFonts w:ascii="Arial" w:hAnsi="Arial" w:cs="Arial"/>
          <w:color w:val="auto"/>
          <w:szCs w:val="21"/>
        </w:rPr>
        <w:t>偿付合同金额</w:t>
      </w:r>
      <w:r>
        <w:rPr>
          <w:rFonts w:hint="eastAsia" w:ascii="Arial" w:hAnsi="Arial" w:cs="Arial"/>
          <w:color w:val="auto"/>
          <w:szCs w:val="21"/>
          <w:u w:val="single"/>
        </w:rPr>
        <w:t>0.2</w:t>
      </w:r>
      <w:r>
        <w:rPr>
          <w:rFonts w:ascii="Arial" w:hAnsi="Arial" w:cs="Arial"/>
          <w:color w:val="auto"/>
          <w:szCs w:val="21"/>
          <w:u w:val="single"/>
        </w:rPr>
        <w:t>‰</w:t>
      </w:r>
      <w:r>
        <w:rPr>
          <w:rFonts w:ascii="Arial" w:hAnsi="Arial" w:cs="Arial"/>
          <w:color w:val="auto"/>
          <w:szCs w:val="21"/>
        </w:rPr>
        <w:t>违约金，但违约金额不得超过合同金额</w:t>
      </w:r>
      <w:r>
        <w:rPr>
          <w:rFonts w:ascii="Arial" w:hAnsi="Arial" w:cs="Arial"/>
          <w:color w:val="auto"/>
          <w:szCs w:val="21"/>
          <w:u w:val="single"/>
        </w:rPr>
        <w:t>5</w:t>
      </w:r>
      <w:r>
        <w:rPr>
          <w:rFonts w:ascii="Arial" w:hAnsi="Arial" w:cs="Arial"/>
          <w:color w:val="auto"/>
          <w:szCs w:val="21"/>
        </w:rPr>
        <w:t>%，超过</w:t>
      </w:r>
      <w:r>
        <w:rPr>
          <w:rFonts w:ascii="Arial" w:hAnsi="Arial" w:cs="Arial"/>
          <w:color w:val="auto"/>
          <w:szCs w:val="21"/>
          <w:u w:val="single"/>
        </w:rPr>
        <w:t>20</w:t>
      </w:r>
      <w:r>
        <w:rPr>
          <w:rFonts w:ascii="Arial" w:hAnsi="Arial" w:cs="Arial"/>
          <w:color w:val="auto"/>
          <w:szCs w:val="21"/>
        </w:rPr>
        <w:t>天</w:t>
      </w:r>
      <w:r>
        <w:rPr>
          <w:rFonts w:hint="eastAsia" w:ascii="Arial" w:hAnsi="Arial" w:cs="Arial"/>
          <w:color w:val="auto"/>
          <w:szCs w:val="21"/>
        </w:rPr>
        <w:t>甲方</w:t>
      </w:r>
      <w:r>
        <w:rPr>
          <w:rFonts w:ascii="Arial" w:hAnsi="Arial" w:cs="Arial"/>
          <w:color w:val="auto"/>
          <w:szCs w:val="21"/>
        </w:rPr>
        <w:t>有权解除合同，</w:t>
      </w:r>
      <w:r>
        <w:rPr>
          <w:rFonts w:hint="eastAsia" w:ascii="Arial" w:hAnsi="Arial" w:cs="Arial"/>
          <w:color w:val="auto"/>
          <w:szCs w:val="21"/>
        </w:rPr>
        <w:t>乙方按照合同金额的5%支付违约金。</w:t>
      </w:r>
      <w:r>
        <w:rPr>
          <w:rFonts w:ascii="Arial" w:hAnsi="Arial" w:cs="Arial"/>
          <w:color w:val="auto"/>
          <w:szCs w:val="21"/>
        </w:rPr>
        <w:t>甲方延期付货款的，每天向乙方偿付合同金额</w:t>
      </w:r>
      <w:r>
        <w:rPr>
          <w:rFonts w:hint="eastAsia" w:ascii="Arial" w:hAnsi="Arial" w:cs="Arial"/>
          <w:color w:val="auto"/>
          <w:szCs w:val="21"/>
          <w:u w:val="single"/>
        </w:rPr>
        <w:t>0.2</w:t>
      </w:r>
      <w:r>
        <w:rPr>
          <w:rFonts w:ascii="Arial" w:hAnsi="Arial" w:cs="Arial"/>
          <w:color w:val="auto"/>
          <w:szCs w:val="21"/>
        </w:rPr>
        <w:t>‰滞纳金，但滞纳金累计不得超过合同金额</w:t>
      </w:r>
      <w:r>
        <w:rPr>
          <w:rFonts w:ascii="Arial" w:hAnsi="Arial" w:cs="Arial"/>
          <w:color w:val="auto"/>
          <w:szCs w:val="21"/>
          <w:u w:val="single"/>
        </w:rPr>
        <w:t>5</w:t>
      </w:r>
      <w:r>
        <w:rPr>
          <w:rFonts w:ascii="Arial" w:hAnsi="Arial" w:cs="Arial"/>
          <w:color w:val="auto"/>
          <w:szCs w:val="21"/>
        </w:rPr>
        <w:t>%。</w:t>
      </w:r>
    </w:p>
    <w:p w14:paraId="405D2A26">
      <w:pPr>
        <w:spacing w:line="400" w:lineRule="exact"/>
        <w:ind w:firstLine="420" w:firstLineChars="200"/>
        <w:rPr>
          <w:rFonts w:ascii="Arial" w:hAnsi="Arial" w:cs="Arial"/>
          <w:color w:val="auto"/>
          <w:szCs w:val="21"/>
        </w:rPr>
      </w:pPr>
      <w:r>
        <w:rPr>
          <w:rFonts w:ascii="Arial" w:hAnsi="Arial" w:cs="Arial"/>
          <w:color w:val="auto"/>
          <w:szCs w:val="21"/>
        </w:rPr>
        <w:t>5</w:t>
      </w:r>
      <w:r>
        <w:rPr>
          <w:rFonts w:hint="eastAsia" w:ascii="Arial" w:hAnsi="Arial" w:cs="Arial"/>
          <w:color w:val="auto"/>
          <w:szCs w:val="21"/>
        </w:rPr>
        <w:t>、</w:t>
      </w:r>
      <w:r>
        <w:rPr>
          <w:rFonts w:ascii="Arial" w:hAnsi="Arial" w:cs="Arial"/>
          <w:color w:val="auto"/>
          <w:szCs w:val="21"/>
        </w:rPr>
        <w:t>乙方未按本合同和</w:t>
      </w:r>
      <w:r>
        <w:rPr>
          <w:rFonts w:hint="eastAsia" w:ascii="Arial" w:hAnsi="Arial" w:cs="Arial"/>
          <w:color w:val="auto"/>
          <w:szCs w:val="21"/>
          <w:lang w:val="en-US" w:eastAsia="zh-CN"/>
        </w:rPr>
        <w:t>投标</w:t>
      </w:r>
      <w:r>
        <w:rPr>
          <w:rFonts w:hint="eastAsia" w:ascii="Arial" w:hAnsi="Arial" w:cs="Arial"/>
          <w:color w:val="auto"/>
          <w:szCs w:val="21"/>
        </w:rPr>
        <w:t>文件</w:t>
      </w:r>
      <w:r>
        <w:rPr>
          <w:rFonts w:ascii="Arial" w:hAnsi="Arial" w:cs="Arial"/>
          <w:color w:val="auto"/>
          <w:szCs w:val="21"/>
        </w:rPr>
        <w:t>中规定的服务承诺提供售后服务的</w:t>
      </w:r>
      <w:r>
        <w:rPr>
          <w:rFonts w:hint="eastAsia" w:ascii="Arial" w:hAnsi="Arial" w:cs="Arial"/>
          <w:color w:val="auto"/>
          <w:szCs w:val="21"/>
        </w:rPr>
        <w:t>（包括未按时响应、未按时完成维修等情形）</w:t>
      </w:r>
      <w:r>
        <w:rPr>
          <w:rFonts w:ascii="Arial" w:hAnsi="Arial" w:cs="Arial"/>
          <w:color w:val="auto"/>
          <w:szCs w:val="21"/>
        </w:rPr>
        <w:t>，乙方应按</w:t>
      </w:r>
      <w:r>
        <w:rPr>
          <w:rFonts w:hint="eastAsia" w:ascii="Arial" w:hAnsi="Arial" w:cs="Arial"/>
          <w:color w:val="auto"/>
          <w:szCs w:val="21"/>
        </w:rPr>
        <w:t>1000元/次</w:t>
      </w:r>
      <w:r>
        <w:rPr>
          <w:rFonts w:ascii="Arial" w:hAnsi="Arial" w:cs="Arial"/>
          <w:color w:val="auto"/>
          <w:szCs w:val="21"/>
        </w:rPr>
        <w:t>向甲方支付违约金。</w:t>
      </w:r>
    </w:p>
    <w:p w14:paraId="0EE1ABA9">
      <w:pPr>
        <w:spacing w:line="400" w:lineRule="exact"/>
        <w:ind w:firstLine="420" w:firstLineChars="200"/>
        <w:rPr>
          <w:rFonts w:ascii="Arial" w:hAnsi="Arial" w:cs="Arial"/>
          <w:color w:val="auto"/>
          <w:szCs w:val="21"/>
        </w:rPr>
      </w:pPr>
      <w:r>
        <w:rPr>
          <w:rFonts w:ascii="Arial" w:hAnsi="Arial" w:cs="Arial"/>
          <w:color w:val="auto"/>
          <w:szCs w:val="21"/>
        </w:rPr>
        <w:t>6</w:t>
      </w:r>
      <w:r>
        <w:rPr>
          <w:rFonts w:hint="eastAsia" w:ascii="Arial" w:hAnsi="Arial" w:cs="Arial"/>
          <w:color w:val="auto"/>
          <w:szCs w:val="21"/>
        </w:rPr>
        <w:t>、</w:t>
      </w:r>
      <w:r>
        <w:rPr>
          <w:rFonts w:ascii="Arial" w:hAnsi="Arial" w:cs="Arial"/>
          <w:color w:val="auto"/>
          <w:szCs w:val="21"/>
        </w:rPr>
        <w:t>乙方提供的货物在</w:t>
      </w:r>
      <w:r>
        <w:rPr>
          <w:rFonts w:hint="eastAsia" w:ascii="Arial" w:hAnsi="Arial" w:cs="Arial"/>
          <w:color w:val="auto"/>
          <w:szCs w:val="21"/>
          <w:lang w:eastAsia="zh-CN"/>
        </w:rPr>
        <w:t>保修期</w:t>
      </w:r>
      <w:r>
        <w:rPr>
          <w:rFonts w:ascii="Arial" w:hAnsi="Arial" w:cs="Arial"/>
          <w:color w:val="auto"/>
          <w:szCs w:val="21"/>
        </w:rPr>
        <w:t>内，因设计、工艺或材料的缺陷和其他质量原因造成的问题，由乙方负责，</w:t>
      </w:r>
      <w:r>
        <w:rPr>
          <w:rFonts w:hint="eastAsia" w:ascii="Arial" w:hAnsi="Arial" w:cs="Arial"/>
          <w:color w:val="auto"/>
          <w:szCs w:val="21"/>
        </w:rPr>
        <w:t>乙方拒绝处理的，甲方代为处理的</w:t>
      </w:r>
      <w:r>
        <w:rPr>
          <w:rFonts w:ascii="Arial" w:hAnsi="Arial" w:cs="Arial"/>
          <w:color w:val="auto"/>
          <w:szCs w:val="21"/>
        </w:rPr>
        <w:t>费用从</w:t>
      </w:r>
      <w:r>
        <w:rPr>
          <w:rFonts w:hint="eastAsia" w:ascii="Arial" w:hAnsi="Arial" w:cs="Arial"/>
          <w:color w:val="auto"/>
          <w:szCs w:val="21"/>
          <w:lang w:val="en-US" w:eastAsia="zh-CN"/>
        </w:rPr>
        <w:t>履约保证金（如有）</w:t>
      </w:r>
      <w:r>
        <w:rPr>
          <w:rFonts w:ascii="Arial" w:hAnsi="Arial" w:cs="Arial"/>
          <w:color w:val="auto"/>
          <w:szCs w:val="21"/>
        </w:rPr>
        <w:t>中扣除，不足另补。</w:t>
      </w:r>
    </w:p>
    <w:p w14:paraId="4543FDDD">
      <w:pPr>
        <w:spacing w:line="400" w:lineRule="exact"/>
        <w:ind w:firstLine="420" w:firstLineChars="200"/>
        <w:rPr>
          <w:rFonts w:ascii="Arial" w:hAnsi="Arial" w:cs="Arial"/>
          <w:color w:val="auto"/>
          <w:szCs w:val="21"/>
        </w:rPr>
      </w:pPr>
      <w:r>
        <w:rPr>
          <w:rFonts w:ascii="Arial" w:hAnsi="Arial" w:cs="Arial"/>
          <w:color w:val="auto"/>
          <w:szCs w:val="21"/>
        </w:rPr>
        <w:t>7</w:t>
      </w:r>
      <w:r>
        <w:rPr>
          <w:rFonts w:hint="eastAsia" w:ascii="Arial" w:hAnsi="Arial" w:cs="Arial"/>
          <w:color w:val="auto"/>
          <w:szCs w:val="21"/>
        </w:rPr>
        <w:t>、</w:t>
      </w:r>
      <w:r>
        <w:rPr>
          <w:rFonts w:ascii="Arial" w:hAnsi="Arial" w:cs="Arial"/>
          <w:color w:val="auto"/>
          <w:szCs w:val="21"/>
        </w:rPr>
        <w:t>其他违约行为按违约</w:t>
      </w:r>
      <w:r>
        <w:rPr>
          <w:rFonts w:hint="eastAsia" w:ascii="Arial" w:hAnsi="Arial" w:cs="Arial"/>
          <w:color w:val="auto"/>
          <w:szCs w:val="21"/>
        </w:rPr>
        <w:t>所涉金</w:t>
      </w:r>
      <w:r>
        <w:rPr>
          <w:rFonts w:ascii="Arial" w:hAnsi="Arial" w:cs="Arial"/>
          <w:color w:val="auto"/>
          <w:szCs w:val="21"/>
        </w:rPr>
        <w:t>额</w:t>
      </w:r>
      <w:r>
        <w:rPr>
          <w:rFonts w:ascii="Arial" w:hAnsi="Arial" w:cs="Arial"/>
          <w:color w:val="auto"/>
          <w:szCs w:val="21"/>
          <w:u w:val="single"/>
        </w:rPr>
        <w:t>5</w:t>
      </w:r>
      <w:r>
        <w:rPr>
          <w:rFonts w:ascii="Arial" w:hAnsi="Arial" w:cs="Arial"/>
          <w:color w:val="auto"/>
          <w:szCs w:val="21"/>
        </w:rPr>
        <w:t>%收取违约金并赔偿经济损失。</w:t>
      </w:r>
    </w:p>
    <w:p w14:paraId="1AE423C7">
      <w:pPr>
        <w:spacing w:line="400" w:lineRule="exact"/>
        <w:ind w:firstLine="413" w:firstLineChars="196"/>
        <w:outlineLvl w:val="1"/>
        <w:rPr>
          <w:rFonts w:ascii="Arial" w:hAnsi="Arial" w:cs="Arial"/>
          <w:b/>
          <w:color w:val="auto"/>
          <w:szCs w:val="21"/>
        </w:rPr>
      </w:pPr>
      <w:r>
        <w:rPr>
          <w:rFonts w:ascii="Arial" w:hAnsi="Arial" w:cs="Arial"/>
          <w:b/>
          <w:color w:val="auto"/>
          <w:szCs w:val="21"/>
        </w:rPr>
        <w:t>第十</w:t>
      </w:r>
      <w:r>
        <w:rPr>
          <w:rFonts w:hint="eastAsia" w:ascii="Arial" w:hAnsi="Arial" w:cs="Arial"/>
          <w:b/>
          <w:color w:val="auto"/>
          <w:szCs w:val="21"/>
        </w:rPr>
        <w:t>三</w:t>
      </w:r>
      <w:r>
        <w:rPr>
          <w:rFonts w:ascii="Arial" w:hAnsi="Arial" w:cs="Arial"/>
          <w:b/>
          <w:color w:val="auto"/>
          <w:szCs w:val="21"/>
        </w:rPr>
        <w:t>条  不可抗力事件处理</w:t>
      </w:r>
    </w:p>
    <w:p w14:paraId="0CED1258">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在合同有效期内，乙方因不可抗力事件导致不能履行合同，则合同履行期可延长，其延长期与不可抗力影响期相同。</w:t>
      </w:r>
    </w:p>
    <w:p w14:paraId="399AEA65">
      <w:pPr>
        <w:spacing w:line="400" w:lineRule="exact"/>
        <w:ind w:firstLine="420" w:firstLineChars="200"/>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不可抗力事件发生后，应立即通知对方，并寄送有关权威机构出具的证明。</w:t>
      </w:r>
    </w:p>
    <w:p w14:paraId="49631FBA">
      <w:pPr>
        <w:spacing w:line="400" w:lineRule="exact"/>
        <w:ind w:firstLine="420" w:firstLineChars="200"/>
        <w:rPr>
          <w:rFonts w:ascii="Arial" w:hAnsi="Arial" w:cs="Arial"/>
          <w:color w:val="auto"/>
          <w:szCs w:val="21"/>
        </w:rPr>
      </w:pPr>
      <w:r>
        <w:rPr>
          <w:rFonts w:ascii="Arial" w:hAnsi="Arial" w:cs="Arial"/>
          <w:color w:val="auto"/>
          <w:szCs w:val="21"/>
        </w:rPr>
        <w:t>3</w:t>
      </w:r>
      <w:r>
        <w:rPr>
          <w:rFonts w:hint="eastAsia" w:ascii="Arial" w:hAnsi="Arial" w:cs="Arial"/>
          <w:color w:val="auto"/>
          <w:szCs w:val="21"/>
        </w:rPr>
        <w:t>、</w:t>
      </w:r>
      <w:r>
        <w:rPr>
          <w:rFonts w:ascii="Arial" w:hAnsi="Arial" w:cs="Arial"/>
          <w:color w:val="auto"/>
          <w:szCs w:val="21"/>
        </w:rPr>
        <w:t>不可抗力事件延续一百二十天以上，双方应通过友好协商，确定是否继续履行合同。</w:t>
      </w:r>
    </w:p>
    <w:p w14:paraId="298EA863">
      <w:pPr>
        <w:spacing w:line="400" w:lineRule="exact"/>
        <w:ind w:firstLine="413" w:firstLineChars="196"/>
        <w:outlineLvl w:val="1"/>
        <w:rPr>
          <w:rFonts w:ascii="Arial" w:hAnsi="Arial" w:cs="Arial"/>
          <w:b/>
          <w:color w:val="auto"/>
          <w:szCs w:val="21"/>
        </w:rPr>
      </w:pPr>
      <w:r>
        <w:rPr>
          <w:rFonts w:ascii="Arial" w:hAnsi="Arial" w:cs="Arial"/>
          <w:b/>
          <w:color w:val="auto"/>
          <w:szCs w:val="21"/>
        </w:rPr>
        <w:t>第十</w:t>
      </w:r>
      <w:r>
        <w:rPr>
          <w:rFonts w:hint="eastAsia" w:ascii="Arial" w:hAnsi="Arial" w:cs="Arial"/>
          <w:b/>
          <w:color w:val="auto"/>
          <w:szCs w:val="21"/>
        </w:rPr>
        <w:t>四条  合同</w:t>
      </w:r>
      <w:r>
        <w:rPr>
          <w:rFonts w:ascii="Arial" w:hAnsi="Arial" w:cs="Arial"/>
          <w:b/>
          <w:color w:val="auto"/>
          <w:szCs w:val="21"/>
        </w:rPr>
        <w:t>争议解决</w:t>
      </w:r>
    </w:p>
    <w:p w14:paraId="7ECAB3F1">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因货物质量问题发生争议的，应邀请国家认可的质量检测机构对货物质量进行鉴定。货物符合标准的，鉴定费由甲方承担；货物不符合标准的，鉴定费由乙方承担。</w:t>
      </w:r>
    </w:p>
    <w:p w14:paraId="033497EA">
      <w:pPr>
        <w:spacing w:line="400" w:lineRule="exact"/>
        <w:ind w:firstLine="420" w:firstLineChars="200"/>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因履行本合同引起的或与本合同有关的争议，甲乙双方应首先通过友好协商解决，如果协商不能解决，可向甲方所在地人民法院</w:t>
      </w:r>
      <w:r>
        <w:rPr>
          <w:rFonts w:hint="eastAsia" w:ascii="Arial" w:hAnsi="Arial" w:cs="Arial"/>
          <w:color w:val="auto"/>
          <w:szCs w:val="21"/>
        </w:rPr>
        <w:t>（【  】区人民法院）</w:t>
      </w:r>
      <w:r>
        <w:rPr>
          <w:rFonts w:ascii="Arial" w:hAnsi="Arial" w:cs="Arial"/>
          <w:color w:val="auto"/>
          <w:szCs w:val="21"/>
        </w:rPr>
        <w:t>提起诉讼。</w:t>
      </w:r>
    </w:p>
    <w:p w14:paraId="7AAE602C">
      <w:pPr>
        <w:spacing w:line="400" w:lineRule="exact"/>
        <w:ind w:left="435"/>
        <w:rPr>
          <w:rFonts w:ascii="Arial" w:hAnsi="Arial" w:cs="Arial"/>
          <w:color w:val="auto"/>
          <w:szCs w:val="21"/>
        </w:rPr>
      </w:pPr>
      <w:r>
        <w:rPr>
          <w:rFonts w:ascii="Arial" w:hAnsi="Arial" w:cs="Arial"/>
          <w:color w:val="auto"/>
          <w:szCs w:val="21"/>
        </w:rPr>
        <w:t>3</w:t>
      </w:r>
      <w:r>
        <w:rPr>
          <w:rFonts w:hint="eastAsia" w:ascii="Arial" w:hAnsi="Arial" w:cs="Arial"/>
          <w:color w:val="auto"/>
          <w:szCs w:val="21"/>
        </w:rPr>
        <w:t>、</w:t>
      </w:r>
      <w:r>
        <w:rPr>
          <w:rFonts w:ascii="Arial" w:hAnsi="Arial" w:cs="Arial"/>
          <w:color w:val="auto"/>
          <w:szCs w:val="21"/>
        </w:rPr>
        <w:t>诉讼期间，本合同继续履行。</w:t>
      </w:r>
    </w:p>
    <w:p w14:paraId="13962EFD">
      <w:pPr>
        <w:spacing w:line="400" w:lineRule="exact"/>
        <w:ind w:firstLine="413" w:firstLineChars="196"/>
        <w:outlineLvl w:val="1"/>
        <w:rPr>
          <w:rFonts w:ascii="Arial" w:hAnsi="Arial" w:cs="Arial"/>
          <w:b/>
          <w:color w:val="auto"/>
          <w:szCs w:val="21"/>
        </w:rPr>
      </w:pPr>
      <w:r>
        <w:rPr>
          <w:rFonts w:ascii="Arial" w:hAnsi="Arial" w:cs="Arial"/>
          <w:b/>
          <w:color w:val="auto"/>
          <w:szCs w:val="21"/>
        </w:rPr>
        <w:t>第十</w:t>
      </w:r>
      <w:r>
        <w:rPr>
          <w:rFonts w:hint="eastAsia" w:ascii="Arial" w:hAnsi="Arial" w:cs="Arial"/>
          <w:b/>
          <w:color w:val="auto"/>
          <w:szCs w:val="21"/>
        </w:rPr>
        <w:t>五条  知识产权和保密要求</w:t>
      </w:r>
    </w:p>
    <w:p w14:paraId="582DD61C">
      <w:pPr>
        <w:spacing w:line="400" w:lineRule="exact"/>
        <w:ind w:firstLine="411" w:firstLineChars="196"/>
        <w:rPr>
          <w:rFonts w:ascii="Arial" w:hAnsi="Arial" w:cs="Arial"/>
          <w:bCs/>
          <w:color w:val="auto"/>
          <w:szCs w:val="21"/>
        </w:rPr>
      </w:pPr>
      <w:r>
        <w:rPr>
          <w:rFonts w:ascii="Arial" w:hAnsi="Arial" w:cs="Arial"/>
          <w:bCs/>
          <w:color w:val="auto"/>
          <w:szCs w:val="21"/>
        </w:rPr>
        <w:t>1</w:t>
      </w:r>
      <w:r>
        <w:rPr>
          <w:rFonts w:hint="eastAsia" w:ascii="Arial" w:hAnsi="Arial" w:cs="Arial"/>
          <w:bCs/>
          <w:color w:val="auto"/>
          <w:szCs w:val="21"/>
        </w:rPr>
        <w:t>、甲方在履行合同过程中提供给乙方的全部图纸、文件和其他含有数据和信息的资料，其知识产权属于甲方。</w:t>
      </w:r>
    </w:p>
    <w:p w14:paraId="3D052D23">
      <w:pPr>
        <w:spacing w:line="400" w:lineRule="exact"/>
        <w:ind w:firstLine="411" w:firstLineChars="196"/>
        <w:rPr>
          <w:rFonts w:ascii="Arial" w:hAnsi="Arial" w:cs="Arial"/>
          <w:bCs/>
          <w:color w:val="auto"/>
          <w:szCs w:val="21"/>
        </w:rPr>
      </w:pPr>
      <w:r>
        <w:rPr>
          <w:rFonts w:ascii="Arial" w:hAnsi="Arial" w:cs="Arial"/>
          <w:bCs/>
          <w:color w:val="auto"/>
          <w:szCs w:val="21"/>
        </w:rPr>
        <w:t>2</w:t>
      </w:r>
      <w:r>
        <w:rPr>
          <w:rFonts w:hint="eastAsia" w:ascii="Arial" w:hAnsi="Arial" w:cs="Arial"/>
          <w:bCs/>
          <w:color w:val="auto"/>
          <w:szCs w:val="21"/>
        </w:rPr>
        <w:t>、除采购文件及采购需求另有约定外，甲方不因签署和履行合同而享有乙方在履行合同过程中提供给甲方的图纸、文件、配套软件、电子辅助程序和其他含有数据和信息的资料的知识产权。</w:t>
      </w:r>
    </w:p>
    <w:p w14:paraId="5A5AA011">
      <w:pPr>
        <w:spacing w:line="400" w:lineRule="exact"/>
        <w:ind w:firstLine="411" w:firstLineChars="196"/>
        <w:rPr>
          <w:rFonts w:ascii="Arial" w:hAnsi="Arial" w:cs="Arial"/>
          <w:bCs/>
          <w:color w:val="auto"/>
          <w:szCs w:val="21"/>
        </w:rPr>
      </w:pPr>
      <w:r>
        <w:rPr>
          <w:rFonts w:ascii="Arial" w:hAnsi="Arial" w:cs="Arial"/>
          <w:bCs/>
          <w:color w:val="auto"/>
          <w:szCs w:val="21"/>
        </w:rPr>
        <w:t>3</w:t>
      </w:r>
      <w:r>
        <w:rPr>
          <w:rFonts w:hint="eastAsia" w:ascii="Arial" w:hAnsi="Arial" w:cs="Arial"/>
          <w:bCs/>
          <w:color w:val="auto"/>
          <w:szCs w:val="21"/>
        </w:rPr>
        <w:t>、乙方应保证所提供货物在使用时不会侵犯任何第三方的知识产权或者其他权利。如合同货物涉及知识产权，则乙方保证甲方在使用合同货物过程中免于受到第三方提出的有关知识产权侵权的主张、索赔或诉讼的伤害。</w:t>
      </w:r>
    </w:p>
    <w:p w14:paraId="1B2A9E62">
      <w:pPr>
        <w:spacing w:line="400" w:lineRule="exact"/>
        <w:ind w:firstLine="411" w:firstLineChars="196"/>
        <w:rPr>
          <w:rFonts w:ascii="Arial" w:hAnsi="Arial" w:cs="Arial"/>
          <w:bCs/>
          <w:color w:val="auto"/>
          <w:szCs w:val="21"/>
        </w:rPr>
      </w:pPr>
      <w:r>
        <w:rPr>
          <w:rFonts w:ascii="Arial" w:hAnsi="Arial" w:cs="Arial"/>
          <w:bCs/>
          <w:color w:val="auto"/>
          <w:szCs w:val="21"/>
        </w:rPr>
        <w:t>4</w:t>
      </w:r>
      <w:r>
        <w:rPr>
          <w:rFonts w:hint="eastAsia" w:ascii="Arial" w:hAnsi="Arial" w:cs="Arial"/>
          <w:bCs/>
          <w:color w:val="auto"/>
          <w:szCs w:val="21"/>
        </w:rPr>
        <w:t>、如果甲方收到任何第三方有关知识产权的主张、索赔或诉讼，乙方在收到甲方通知后，应以甲方名义并在甲方的协助下，自负费用处理与第三方的索赔或诉讼，并赔偿甲方因此发生的费用和遭受的损失。如果乙方拒绝处理前述索赔或诉讼或在收到甲方通知后</w:t>
      </w:r>
      <w:r>
        <w:rPr>
          <w:rFonts w:ascii="Arial" w:hAnsi="Arial" w:cs="Arial"/>
          <w:bCs/>
          <w:color w:val="auto"/>
          <w:szCs w:val="21"/>
        </w:rPr>
        <w:t>28</w:t>
      </w:r>
      <w:r>
        <w:rPr>
          <w:rFonts w:hint="eastAsia" w:ascii="Arial" w:hAnsi="Arial" w:cs="Arial"/>
          <w:bCs/>
          <w:color w:val="auto"/>
          <w:szCs w:val="21"/>
        </w:rPr>
        <w:t>日内未作表示，甲方可以自己的名义进行这些索赔或诉讼，因此发生的费用和遭受的损失均应由乙方承担。</w:t>
      </w:r>
    </w:p>
    <w:p w14:paraId="0C08F565">
      <w:pPr>
        <w:spacing w:line="400" w:lineRule="exact"/>
        <w:ind w:firstLine="411" w:firstLineChars="196"/>
        <w:rPr>
          <w:rFonts w:ascii="Arial" w:hAnsi="Arial" w:cs="Arial"/>
          <w:bCs/>
          <w:color w:val="auto"/>
          <w:szCs w:val="21"/>
        </w:rPr>
      </w:pPr>
      <w:r>
        <w:rPr>
          <w:rFonts w:hint="eastAsia" w:ascii="Arial" w:hAnsi="Arial" w:cs="Arial"/>
          <w:bCs/>
          <w:color w:val="auto"/>
          <w:szCs w:val="21"/>
        </w:rPr>
        <w:t>5、未经甲方书面同意，乙方不得将由甲方提供的有关合同或者任何合同条款、规格、计划、图纸、样品或者资料提供给与履行本合同无关的任何其他人。即使向履行本合同有关的其他人员提供，也应注意保密并限于履行合同的必需范围。</w:t>
      </w:r>
    </w:p>
    <w:p w14:paraId="65194F16">
      <w:pPr>
        <w:spacing w:line="400" w:lineRule="exact"/>
        <w:ind w:firstLine="411" w:firstLineChars="196"/>
        <w:rPr>
          <w:rFonts w:ascii="Arial" w:hAnsi="Arial" w:cs="Arial"/>
          <w:bCs/>
          <w:color w:val="auto"/>
          <w:szCs w:val="21"/>
        </w:rPr>
      </w:pPr>
      <w:r>
        <w:rPr>
          <w:rFonts w:ascii="Arial" w:hAnsi="Arial" w:cs="Arial"/>
          <w:bCs/>
          <w:color w:val="auto"/>
          <w:szCs w:val="21"/>
        </w:rPr>
        <w:t>6</w:t>
      </w:r>
      <w:r>
        <w:rPr>
          <w:rFonts w:hint="eastAsia" w:ascii="Arial" w:hAnsi="Arial" w:cs="Arial"/>
          <w:bCs/>
          <w:color w:val="auto"/>
          <w:szCs w:val="21"/>
        </w:rPr>
        <w:t>、乙方保证将要交付的货物的所有权完全属于乙方且无任何抵押、质押、查封等产权瑕疵。</w:t>
      </w:r>
    </w:p>
    <w:p w14:paraId="58B5E47F">
      <w:pPr>
        <w:spacing w:line="400" w:lineRule="exact"/>
        <w:ind w:firstLine="413" w:firstLineChars="196"/>
        <w:outlineLvl w:val="1"/>
        <w:rPr>
          <w:rFonts w:ascii="Arial" w:hAnsi="Arial" w:cs="Arial"/>
          <w:b/>
          <w:color w:val="auto"/>
          <w:szCs w:val="21"/>
        </w:rPr>
      </w:pPr>
      <w:r>
        <w:rPr>
          <w:rFonts w:hint="eastAsia" w:ascii="Arial" w:hAnsi="Arial" w:cs="Arial"/>
          <w:b/>
          <w:color w:val="auto"/>
          <w:szCs w:val="21"/>
        </w:rPr>
        <w:t>第十六条  合同</w:t>
      </w:r>
      <w:r>
        <w:rPr>
          <w:rFonts w:ascii="Arial" w:hAnsi="Arial" w:cs="Arial"/>
          <w:b/>
          <w:color w:val="auto"/>
          <w:szCs w:val="21"/>
        </w:rPr>
        <w:t>生效及其它</w:t>
      </w:r>
    </w:p>
    <w:p w14:paraId="215D1F5D">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合同经甲乙双方法定代表人或授权代表签字并加盖单位公章后生效。</w:t>
      </w:r>
    </w:p>
    <w:p w14:paraId="357F9097">
      <w:pPr>
        <w:spacing w:line="400" w:lineRule="exact"/>
        <w:ind w:firstLine="420" w:firstLineChars="200"/>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合同执行中涉及采购资金和采购内容修改或补充的，</w:t>
      </w:r>
      <w:r>
        <w:rPr>
          <w:rFonts w:hint="eastAsia"/>
          <w:b w:val="0"/>
          <w:bCs w:val="0"/>
          <w:color w:val="auto"/>
          <w:lang w:val="en-US" w:eastAsia="zh-CN"/>
        </w:rPr>
        <w:t>须经财政部门审批，并签书面补充协议报财政部门备案，方可作为主合同不可分割的一部分。</w:t>
      </w:r>
    </w:p>
    <w:p w14:paraId="0905195D">
      <w:pPr>
        <w:spacing w:line="400" w:lineRule="exact"/>
        <w:ind w:left="435"/>
        <w:rPr>
          <w:rFonts w:ascii="Arial" w:hAnsi="Arial" w:cs="Arial"/>
          <w:color w:val="auto"/>
          <w:szCs w:val="21"/>
        </w:rPr>
      </w:pPr>
      <w:r>
        <w:rPr>
          <w:rFonts w:ascii="Arial" w:hAnsi="Arial" w:cs="Arial"/>
          <w:color w:val="auto"/>
          <w:szCs w:val="21"/>
        </w:rPr>
        <w:t>3</w:t>
      </w:r>
      <w:r>
        <w:rPr>
          <w:rFonts w:hint="eastAsia" w:ascii="Arial" w:hAnsi="Arial" w:cs="Arial"/>
          <w:color w:val="auto"/>
          <w:szCs w:val="21"/>
        </w:rPr>
        <w:t>、</w:t>
      </w:r>
      <w:r>
        <w:rPr>
          <w:rFonts w:ascii="Arial" w:hAnsi="Arial" w:cs="Arial"/>
          <w:color w:val="auto"/>
          <w:szCs w:val="21"/>
        </w:rPr>
        <w:t>本合同未尽事宜，遵照《</w:t>
      </w:r>
      <w:r>
        <w:rPr>
          <w:rFonts w:hint="eastAsia" w:ascii="Arial" w:hAnsi="Arial" w:cs="Arial"/>
          <w:color w:val="auto"/>
          <w:szCs w:val="21"/>
          <w:lang w:val="en-US" w:eastAsia="zh-CN"/>
        </w:rPr>
        <w:t>中华人民共和国</w:t>
      </w:r>
      <w:r>
        <w:rPr>
          <w:rFonts w:hint="eastAsia" w:ascii="Arial" w:hAnsi="Arial" w:cs="Arial"/>
          <w:color w:val="auto"/>
          <w:szCs w:val="21"/>
        </w:rPr>
        <w:t>民法典</w:t>
      </w:r>
      <w:r>
        <w:rPr>
          <w:rFonts w:ascii="Arial" w:hAnsi="Arial" w:cs="Arial"/>
          <w:color w:val="auto"/>
          <w:szCs w:val="21"/>
        </w:rPr>
        <w:t>》有关条文执行。</w:t>
      </w:r>
    </w:p>
    <w:p w14:paraId="59B5D0F9">
      <w:pPr>
        <w:spacing w:line="400" w:lineRule="exact"/>
        <w:ind w:firstLine="413" w:firstLineChars="196"/>
        <w:outlineLvl w:val="1"/>
        <w:rPr>
          <w:rFonts w:ascii="Arial" w:hAnsi="Arial" w:cs="Arial"/>
          <w:b/>
          <w:color w:val="auto"/>
          <w:szCs w:val="21"/>
        </w:rPr>
      </w:pPr>
      <w:r>
        <w:rPr>
          <w:rFonts w:ascii="Arial" w:hAnsi="Arial" w:cs="Arial"/>
          <w:b/>
          <w:color w:val="auto"/>
          <w:szCs w:val="21"/>
        </w:rPr>
        <w:t>第十</w:t>
      </w:r>
      <w:r>
        <w:rPr>
          <w:rFonts w:hint="eastAsia" w:ascii="Arial" w:hAnsi="Arial" w:cs="Arial"/>
          <w:b/>
          <w:color w:val="auto"/>
          <w:szCs w:val="21"/>
        </w:rPr>
        <w:t xml:space="preserve">七条  </w:t>
      </w:r>
      <w:r>
        <w:rPr>
          <w:rFonts w:ascii="Arial" w:hAnsi="Arial" w:cs="Arial"/>
          <w:b/>
          <w:color w:val="auto"/>
          <w:szCs w:val="21"/>
        </w:rPr>
        <w:t>合同的变更、终止与转让</w:t>
      </w:r>
    </w:p>
    <w:p w14:paraId="17D1C474">
      <w:pPr>
        <w:spacing w:line="400" w:lineRule="exact"/>
        <w:ind w:firstLine="420" w:firstLineChars="200"/>
        <w:rPr>
          <w:rFonts w:ascii="Arial" w:hAnsi="Arial" w:cs="Arial"/>
          <w:color w:val="auto"/>
          <w:szCs w:val="21"/>
        </w:rPr>
      </w:pPr>
      <w:r>
        <w:rPr>
          <w:rFonts w:ascii="Arial" w:hAnsi="Arial" w:cs="Arial"/>
          <w:color w:val="auto"/>
          <w:szCs w:val="21"/>
        </w:rPr>
        <w:t>1</w:t>
      </w:r>
      <w:r>
        <w:rPr>
          <w:rFonts w:hint="eastAsia" w:ascii="Arial" w:hAnsi="Arial" w:cs="Arial"/>
          <w:color w:val="auto"/>
          <w:szCs w:val="21"/>
        </w:rPr>
        <w:t>、</w:t>
      </w:r>
      <w:r>
        <w:rPr>
          <w:rFonts w:ascii="Arial" w:hAnsi="Arial" w:cs="Arial"/>
          <w:color w:val="auto"/>
          <w:szCs w:val="21"/>
        </w:rPr>
        <w:t>本合同一经签订，甲乙双方不得擅自变更，中止或终止。</w:t>
      </w:r>
    </w:p>
    <w:p w14:paraId="6F323DDA">
      <w:pPr>
        <w:spacing w:line="400" w:lineRule="exact"/>
        <w:ind w:firstLine="420" w:firstLineChars="200"/>
        <w:rPr>
          <w:rFonts w:ascii="Arial" w:hAnsi="Arial" w:cs="Arial"/>
          <w:color w:val="auto"/>
          <w:szCs w:val="21"/>
        </w:rPr>
      </w:pPr>
      <w:r>
        <w:rPr>
          <w:rFonts w:ascii="Arial" w:hAnsi="Arial" w:cs="Arial"/>
          <w:color w:val="auto"/>
          <w:szCs w:val="21"/>
        </w:rPr>
        <w:t>2</w:t>
      </w:r>
      <w:r>
        <w:rPr>
          <w:rFonts w:hint="eastAsia" w:ascii="Arial" w:hAnsi="Arial" w:cs="Arial"/>
          <w:color w:val="auto"/>
          <w:szCs w:val="21"/>
        </w:rPr>
        <w:t>、</w:t>
      </w:r>
      <w:r>
        <w:rPr>
          <w:rFonts w:ascii="Arial" w:hAnsi="Arial" w:cs="Arial"/>
          <w:color w:val="auto"/>
          <w:szCs w:val="21"/>
        </w:rPr>
        <w:t>乙方不得擅自转让</w:t>
      </w:r>
      <w:r>
        <w:rPr>
          <w:rFonts w:hint="eastAsia" w:ascii="Arial" w:hAnsi="Arial" w:cs="Arial"/>
          <w:color w:val="auto"/>
          <w:szCs w:val="21"/>
        </w:rPr>
        <w:t>（</w:t>
      </w:r>
      <w:r>
        <w:rPr>
          <w:rFonts w:ascii="Arial" w:hAnsi="Arial" w:cs="Arial"/>
          <w:color w:val="auto"/>
          <w:szCs w:val="21"/>
        </w:rPr>
        <w:t>无进口资格的供应商委托进口货物除外</w:t>
      </w:r>
      <w:r>
        <w:rPr>
          <w:rFonts w:hint="eastAsia" w:ascii="Arial" w:hAnsi="Arial" w:cs="Arial"/>
          <w:color w:val="auto"/>
          <w:szCs w:val="21"/>
        </w:rPr>
        <w:t>）</w:t>
      </w:r>
      <w:r>
        <w:rPr>
          <w:rFonts w:ascii="Arial" w:hAnsi="Arial" w:cs="Arial"/>
          <w:color w:val="auto"/>
          <w:szCs w:val="21"/>
        </w:rPr>
        <w:t>其应履行的合同义务。</w:t>
      </w:r>
    </w:p>
    <w:p w14:paraId="611495D3">
      <w:pPr>
        <w:spacing w:line="400" w:lineRule="exact"/>
        <w:ind w:firstLine="413" w:firstLineChars="196"/>
        <w:outlineLvl w:val="1"/>
        <w:rPr>
          <w:rFonts w:ascii="Arial" w:hAnsi="Arial" w:cs="Arial"/>
          <w:b/>
          <w:color w:val="auto"/>
          <w:szCs w:val="21"/>
        </w:rPr>
      </w:pPr>
      <w:r>
        <w:rPr>
          <w:rFonts w:ascii="Arial" w:hAnsi="Arial" w:cs="Arial"/>
          <w:b/>
          <w:color w:val="auto"/>
          <w:szCs w:val="21"/>
        </w:rPr>
        <w:t>第十</w:t>
      </w:r>
      <w:r>
        <w:rPr>
          <w:rFonts w:hint="eastAsia" w:ascii="Arial" w:hAnsi="Arial" w:cs="Arial"/>
          <w:b/>
          <w:color w:val="auto"/>
          <w:szCs w:val="21"/>
        </w:rPr>
        <w:t xml:space="preserve">八条  </w:t>
      </w:r>
      <w:r>
        <w:rPr>
          <w:rFonts w:ascii="Arial" w:hAnsi="Arial" w:cs="Arial"/>
          <w:b/>
          <w:color w:val="auto"/>
          <w:szCs w:val="21"/>
        </w:rPr>
        <w:t>签订本合同依据</w:t>
      </w:r>
      <w:r>
        <w:rPr>
          <w:rFonts w:hint="eastAsia" w:ascii="Arial" w:hAnsi="Arial" w:cs="Arial"/>
          <w:b/>
          <w:color w:val="auto"/>
          <w:szCs w:val="21"/>
        </w:rPr>
        <w:t>（合同组成部分）</w:t>
      </w:r>
    </w:p>
    <w:p w14:paraId="41F7386B">
      <w:pPr>
        <w:spacing w:line="400" w:lineRule="exact"/>
        <w:ind w:left="420"/>
        <w:rPr>
          <w:rFonts w:hint="eastAsia" w:ascii="Arial" w:hAnsi="Arial" w:cs="Arial"/>
          <w:color w:val="auto"/>
          <w:szCs w:val="21"/>
        </w:rPr>
      </w:pPr>
      <w:r>
        <w:rPr>
          <w:rFonts w:hint="eastAsia" w:ascii="Arial" w:hAnsi="Arial" w:cs="Arial"/>
          <w:color w:val="auto"/>
          <w:szCs w:val="21"/>
        </w:rPr>
        <w:t>1.招标文件；</w:t>
      </w:r>
    </w:p>
    <w:p w14:paraId="7D0CF5B7">
      <w:pPr>
        <w:spacing w:line="400" w:lineRule="exact"/>
        <w:ind w:left="420"/>
        <w:rPr>
          <w:rFonts w:hint="eastAsia" w:ascii="Arial" w:hAnsi="Arial" w:cs="Arial"/>
          <w:color w:val="auto"/>
          <w:szCs w:val="21"/>
        </w:rPr>
      </w:pPr>
      <w:r>
        <w:rPr>
          <w:rFonts w:hint="eastAsia" w:ascii="Arial" w:hAnsi="Arial" w:cs="Arial"/>
          <w:color w:val="auto"/>
          <w:szCs w:val="21"/>
        </w:rPr>
        <w:t>2.投标函、开标一览表；</w:t>
      </w:r>
    </w:p>
    <w:p w14:paraId="7B01DD10">
      <w:pPr>
        <w:spacing w:line="400" w:lineRule="exact"/>
        <w:ind w:left="420"/>
        <w:rPr>
          <w:rFonts w:hint="eastAsia" w:ascii="Arial" w:hAnsi="Arial" w:cs="Arial"/>
          <w:color w:val="auto"/>
          <w:szCs w:val="21"/>
        </w:rPr>
      </w:pPr>
      <w:r>
        <w:rPr>
          <w:rFonts w:hint="eastAsia" w:ascii="Arial" w:hAnsi="Arial" w:cs="Arial"/>
          <w:color w:val="auto"/>
          <w:szCs w:val="21"/>
        </w:rPr>
        <w:t>3.商务条款偏离表；</w:t>
      </w:r>
    </w:p>
    <w:p w14:paraId="7B43F592">
      <w:pPr>
        <w:spacing w:line="400" w:lineRule="exact"/>
        <w:ind w:left="420"/>
        <w:rPr>
          <w:rFonts w:hint="eastAsia" w:ascii="Arial" w:hAnsi="Arial" w:cs="Arial"/>
          <w:color w:val="auto"/>
          <w:szCs w:val="21"/>
        </w:rPr>
      </w:pPr>
      <w:r>
        <w:rPr>
          <w:rFonts w:hint="eastAsia" w:ascii="Arial" w:hAnsi="Arial" w:cs="Arial"/>
          <w:color w:val="auto"/>
          <w:szCs w:val="21"/>
        </w:rPr>
        <w:t>4.技术偏离表；</w:t>
      </w:r>
    </w:p>
    <w:p w14:paraId="2FF16E53">
      <w:pPr>
        <w:spacing w:line="400" w:lineRule="exact"/>
        <w:ind w:left="420"/>
        <w:rPr>
          <w:rFonts w:hint="eastAsia" w:ascii="Arial" w:hAnsi="Arial" w:cs="Arial"/>
          <w:color w:val="auto"/>
          <w:szCs w:val="21"/>
        </w:rPr>
      </w:pPr>
      <w:r>
        <w:rPr>
          <w:rFonts w:hint="eastAsia" w:ascii="Arial" w:hAnsi="Arial" w:cs="Arial"/>
          <w:color w:val="auto"/>
          <w:szCs w:val="21"/>
        </w:rPr>
        <w:t>5.中标通知书；</w:t>
      </w:r>
    </w:p>
    <w:p w14:paraId="6E929B8B">
      <w:pPr>
        <w:spacing w:line="400" w:lineRule="exact"/>
        <w:ind w:left="225" w:leftChars="107" w:firstLine="210" w:firstLineChars="100"/>
        <w:rPr>
          <w:rFonts w:ascii="Arial" w:hAnsi="Arial" w:cs="Arial"/>
          <w:color w:val="auto"/>
          <w:szCs w:val="21"/>
        </w:rPr>
      </w:pPr>
      <w:r>
        <w:rPr>
          <w:rFonts w:hint="eastAsia" w:ascii="Arial" w:hAnsi="Arial" w:cs="Arial"/>
          <w:color w:val="auto"/>
          <w:szCs w:val="21"/>
        </w:rPr>
        <w:t>6.履约保证金（附中小企业声明函）（如有）。</w:t>
      </w:r>
    </w:p>
    <w:p w14:paraId="61B342B5">
      <w:pPr>
        <w:snapToGrid w:val="0"/>
        <w:spacing w:line="440" w:lineRule="exact"/>
        <w:ind w:firstLine="420" w:firstLineChars="200"/>
        <w:rPr>
          <w:rFonts w:cs="宋体"/>
          <w:color w:val="auto"/>
          <w:szCs w:val="21"/>
        </w:rPr>
      </w:pPr>
      <w:r>
        <w:rPr>
          <w:rFonts w:ascii="Arial" w:hAnsi="Arial" w:cs="Arial"/>
          <w:color w:val="auto"/>
          <w:szCs w:val="21"/>
        </w:rPr>
        <w:t>本合同一式伍份，甲方执贰份，乙方执贰份，采购代理机构壹份。补充协议含售后服务承诺书等，与本合同具有同等法律效力。</w:t>
      </w:r>
    </w:p>
    <w:p w14:paraId="6611B797">
      <w:pPr>
        <w:snapToGrid w:val="0"/>
        <w:spacing w:line="440" w:lineRule="exact"/>
        <w:ind w:firstLine="420" w:firstLineChars="200"/>
        <w:rPr>
          <w:color w:val="auto"/>
          <w:szCs w:val="21"/>
        </w:rPr>
      </w:pPr>
      <w:r>
        <w:rPr>
          <w:rFonts w:hint="eastAsia" w:cs="宋体"/>
          <w:color w:val="auto"/>
          <w:szCs w:val="21"/>
        </w:rPr>
        <w:t>本</w:t>
      </w:r>
      <w:r>
        <w:rPr>
          <w:rFonts w:hint="eastAsia"/>
          <w:color w:val="auto"/>
          <w:szCs w:val="21"/>
        </w:rPr>
        <w:t>合同</w:t>
      </w:r>
      <w:r>
        <w:rPr>
          <w:rFonts w:hint="eastAsia" w:cs="宋体"/>
          <w:color w:val="auto"/>
          <w:szCs w:val="21"/>
        </w:rPr>
        <w:t>自签订</w:t>
      </w:r>
      <w:r>
        <w:rPr>
          <w:rFonts w:hint="eastAsia" w:cs="宋体"/>
          <w:color w:val="auto"/>
          <w:szCs w:val="21"/>
          <w:lang w:val="en-US" w:eastAsia="zh-CN"/>
        </w:rPr>
        <w:t>生效</w:t>
      </w:r>
      <w:r>
        <w:rPr>
          <w:rFonts w:hint="eastAsia" w:cs="宋体"/>
          <w:color w:val="auto"/>
          <w:szCs w:val="21"/>
        </w:rPr>
        <w:t>之日起2个工作日内，甲方应当将采购合同在广西壮族自治区财政厅指定的媒体上公告。</w:t>
      </w:r>
    </w:p>
    <w:p w14:paraId="69EE9A57">
      <w:pPr>
        <w:snapToGrid w:val="0"/>
        <w:spacing w:line="340" w:lineRule="exact"/>
        <w:rPr>
          <w:color w:val="auto"/>
          <w:szCs w:val="21"/>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336C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516" w:type="dxa"/>
            <w:vAlign w:val="center"/>
          </w:tcPr>
          <w:p w14:paraId="7479A9CB">
            <w:pPr>
              <w:snapToGrid w:val="0"/>
              <w:spacing w:line="360" w:lineRule="exact"/>
              <w:rPr>
                <w:color w:val="auto"/>
                <w:szCs w:val="21"/>
              </w:rPr>
            </w:pPr>
            <w:r>
              <w:rPr>
                <w:rFonts w:hint="eastAsia"/>
                <w:color w:val="auto"/>
                <w:szCs w:val="21"/>
              </w:rPr>
              <w:t>甲方（章）</w:t>
            </w:r>
          </w:p>
          <w:p w14:paraId="0EE57C41">
            <w:pPr>
              <w:snapToGrid w:val="0"/>
              <w:spacing w:line="360" w:lineRule="exact"/>
              <w:rPr>
                <w:color w:val="auto"/>
                <w:szCs w:val="21"/>
              </w:rPr>
            </w:pPr>
          </w:p>
          <w:p w14:paraId="4363EF30">
            <w:pPr>
              <w:snapToGrid w:val="0"/>
              <w:spacing w:line="360" w:lineRule="exact"/>
              <w:ind w:firstLine="630" w:firstLineChars="300"/>
              <w:rPr>
                <w:color w:val="auto"/>
                <w:szCs w:val="21"/>
              </w:rPr>
            </w:pPr>
            <w:r>
              <w:rPr>
                <w:rFonts w:hint="eastAsia"/>
                <w:color w:val="auto"/>
                <w:szCs w:val="21"/>
              </w:rPr>
              <w:t>年   月   日</w:t>
            </w:r>
          </w:p>
        </w:tc>
        <w:tc>
          <w:tcPr>
            <w:tcW w:w="4517" w:type="dxa"/>
            <w:vAlign w:val="center"/>
          </w:tcPr>
          <w:p w14:paraId="4CA9C5D3">
            <w:pPr>
              <w:snapToGrid w:val="0"/>
              <w:spacing w:line="360" w:lineRule="exact"/>
              <w:rPr>
                <w:color w:val="auto"/>
                <w:szCs w:val="21"/>
              </w:rPr>
            </w:pPr>
            <w:r>
              <w:rPr>
                <w:rFonts w:hint="eastAsia"/>
                <w:color w:val="auto"/>
                <w:szCs w:val="21"/>
              </w:rPr>
              <w:t xml:space="preserve">乙方（章）              </w:t>
            </w:r>
          </w:p>
          <w:p w14:paraId="01A480DB">
            <w:pPr>
              <w:snapToGrid w:val="0"/>
              <w:spacing w:line="360" w:lineRule="exact"/>
              <w:rPr>
                <w:color w:val="auto"/>
                <w:szCs w:val="21"/>
              </w:rPr>
            </w:pPr>
          </w:p>
          <w:p w14:paraId="6CC7B589">
            <w:pPr>
              <w:snapToGrid w:val="0"/>
              <w:spacing w:line="360" w:lineRule="exact"/>
              <w:rPr>
                <w:color w:val="auto"/>
                <w:szCs w:val="21"/>
              </w:rPr>
            </w:pPr>
            <w:r>
              <w:rPr>
                <w:rFonts w:hint="eastAsia"/>
                <w:color w:val="auto"/>
                <w:szCs w:val="21"/>
              </w:rPr>
              <w:t xml:space="preserve">       年   月   日</w:t>
            </w:r>
          </w:p>
        </w:tc>
      </w:tr>
      <w:tr w14:paraId="0542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jc w:val="center"/>
        </w:trPr>
        <w:tc>
          <w:tcPr>
            <w:tcW w:w="4516" w:type="dxa"/>
            <w:vAlign w:val="center"/>
          </w:tcPr>
          <w:p w14:paraId="2C2D0378">
            <w:pPr>
              <w:snapToGrid w:val="0"/>
              <w:spacing w:line="360" w:lineRule="exact"/>
              <w:rPr>
                <w:color w:val="auto"/>
                <w:szCs w:val="21"/>
              </w:rPr>
            </w:pPr>
            <w:r>
              <w:rPr>
                <w:rFonts w:hint="eastAsia"/>
                <w:color w:val="auto"/>
                <w:szCs w:val="21"/>
              </w:rPr>
              <w:t>单位地址：</w:t>
            </w:r>
          </w:p>
        </w:tc>
        <w:tc>
          <w:tcPr>
            <w:tcW w:w="4517" w:type="dxa"/>
            <w:vAlign w:val="center"/>
          </w:tcPr>
          <w:p w14:paraId="6026648B">
            <w:pPr>
              <w:snapToGrid w:val="0"/>
              <w:spacing w:line="360" w:lineRule="exact"/>
              <w:rPr>
                <w:color w:val="auto"/>
                <w:szCs w:val="21"/>
              </w:rPr>
            </w:pPr>
            <w:r>
              <w:rPr>
                <w:rFonts w:hint="eastAsia"/>
                <w:color w:val="auto"/>
                <w:szCs w:val="21"/>
              </w:rPr>
              <w:t>单位地址：</w:t>
            </w:r>
          </w:p>
        </w:tc>
      </w:tr>
      <w:tr w14:paraId="22CD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4516" w:type="dxa"/>
            <w:vAlign w:val="center"/>
          </w:tcPr>
          <w:p w14:paraId="154F12D6">
            <w:pPr>
              <w:snapToGrid w:val="0"/>
              <w:spacing w:line="360" w:lineRule="exact"/>
              <w:rPr>
                <w:color w:val="auto"/>
                <w:szCs w:val="21"/>
              </w:rPr>
            </w:pPr>
            <w:r>
              <w:rPr>
                <w:rFonts w:hint="eastAsia"/>
                <w:color w:val="auto"/>
                <w:szCs w:val="21"/>
              </w:rPr>
              <w:t>法定代表人：</w:t>
            </w:r>
          </w:p>
        </w:tc>
        <w:tc>
          <w:tcPr>
            <w:tcW w:w="4517" w:type="dxa"/>
            <w:vAlign w:val="center"/>
          </w:tcPr>
          <w:p w14:paraId="76AB7529">
            <w:pPr>
              <w:snapToGrid w:val="0"/>
              <w:spacing w:line="360" w:lineRule="exact"/>
              <w:rPr>
                <w:color w:val="auto"/>
                <w:szCs w:val="21"/>
              </w:rPr>
            </w:pPr>
            <w:r>
              <w:rPr>
                <w:rFonts w:hint="eastAsia"/>
                <w:color w:val="auto"/>
                <w:szCs w:val="21"/>
              </w:rPr>
              <w:t>法定代表人：</w:t>
            </w:r>
          </w:p>
        </w:tc>
      </w:tr>
      <w:tr w14:paraId="59F0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4516" w:type="dxa"/>
            <w:vAlign w:val="center"/>
          </w:tcPr>
          <w:p w14:paraId="570632B0">
            <w:pPr>
              <w:snapToGrid w:val="0"/>
              <w:spacing w:line="360" w:lineRule="exact"/>
              <w:rPr>
                <w:color w:val="auto"/>
                <w:szCs w:val="21"/>
              </w:rPr>
            </w:pPr>
            <w:r>
              <w:rPr>
                <w:rFonts w:hint="eastAsia"/>
                <w:color w:val="auto"/>
                <w:szCs w:val="21"/>
              </w:rPr>
              <w:t>委托代理人：</w:t>
            </w:r>
          </w:p>
        </w:tc>
        <w:tc>
          <w:tcPr>
            <w:tcW w:w="4517" w:type="dxa"/>
            <w:vAlign w:val="center"/>
          </w:tcPr>
          <w:p w14:paraId="3BD5BB0A">
            <w:pPr>
              <w:snapToGrid w:val="0"/>
              <w:spacing w:line="360" w:lineRule="exact"/>
              <w:rPr>
                <w:color w:val="auto"/>
                <w:szCs w:val="21"/>
              </w:rPr>
            </w:pPr>
            <w:r>
              <w:rPr>
                <w:rFonts w:hint="eastAsia"/>
                <w:color w:val="auto"/>
                <w:szCs w:val="21"/>
              </w:rPr>
              <w:t>委托代理人：</w:t>
            </w:r>
          </w:p>
        </w:tc>
      </w:tr>
      <w:tr w14:paraId="0291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vAlign w:val="center"/>
          </w:tcPr>
          <w:p w14:paraId="295ED92F">
            <w:pPr>
              <w:snapToGrid w:val="0"/>
              <w:spacing w:line="360" w:lineRule="exact"/>
              <w:rPr>
                <w:color w:val="auto"/>
                <w:szCs w:val="21"/>
              </w:rPr>
            </w:pPr>
            <w:r>
              <w:rPr>
                <w:rFonts w:hint="eastAsia"/>
                <w:color w:val="auto"/>
                <w:szCs w:val="21"/>
              </w:rPr>
              <w:t>电话：</w:t>
            </w:r>
          </w:p>
        </w:tc>
        <w:tc>
          <w:tcPr>
            <w:tcW w:w="4517" w:type="dxa"/>
            <w:vAlign w:val="center"/>
          </w:tcPr>
          <w:p w14:paraId="522AABDF">
            <w:pPr>
              <w:snapToGrid w:val="0"/>
              <w:spacing w:line="360" w:lineRule="exact"/>
              <w:rPr>
                <w:color w:val="auto"/>
                <w:szCs w:val="21"/>
              </w:rPr>
            </w:pPr>
            <w:r>
              <w:rPr>
                <w:rFonts w:hint="eastAsia"/>
                <w:color w:val="auto"/>
                <w:szCs w:val="21"/>
              </w:rPr>
              <w:t>电话：</w:t>
            </w:r>
          </w:p>
        </w:tc>
      </w:tr>
      <w:tr w14:paraId="3B7C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4516" w:type="dxa"/>
            <w:vAlign w:val="center"/>
          </w:tcPr>
          <w:p w14:paraId="24BC7B2E">
            <w:pPr>
              <w:snapToGrid w:val="0"/>
              <w:spacing w:line="360" w:lineRule="exact"/>
              <w:rPr>
                <w:color w:val="auto"/>
                <w:szCs w:val="21"/>
              </w:rPr>
            </w:pPr>
            <w:r>
              <w:rPr>
                <w:rFonts w:hint="eastAsia"/>
                <w:color w:val="auto"/>
                <w:szCs w:val="21"/>
              </w:rPr>
              <w:t>电子邮箱：</w:t>
            </w:r>
          </w:p>
        </w:tc>
        <w:tc>
          <w:tcPr>
            <w:tcW w:w="4517" w:type="dxa"/>
            <w:vAlign w:val="center"/>
          </w:tcPr>
          <w:p w14:paraId="0714B33A">
            <w:pPr>
              <w:snapToGrid w:val="0"/>
              <w:spacing w:line="360" w:lineRule="exact"/>
              <w:rPr>
                <w:color w:val="auto"/>
                <w:szCs w:val="21"/>
              </w:rPr>
            </w:pPr>
            <w:r>
              <w:rPr>
                <w:rFonts w:hint="eastAsia"/>
                <w:color w:val="auto"/>
                <w:szCs w:val="21"/>
              </w:rPr>
              <w:t>电子邮箱：</w:t>
            </w:r>
          </w:p>
        </w:tc>
      </w:tr>
      <w:tr w14:paraId="499F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vAlign w:val="center"/>
          </w:tcPr>
          <w:p w14:paraId="3B75E684">
            <w:pPr>
              <w:snapToGrid w:val="0"/>
              <w:spacing w:line="360" w:lineRule="exact"/>
              <w:rPr>
                <w:color w:val="auto"/>
                <w:szCs w:val="21"/>
              </w:rPr>
            </w:pPr>
            <w:r>
              <w:rPr>
                <w:rFonts w:hint="eastAsia"/>
                <w:color w:val="auto"/>
                <w:szCs w:val="21"/>
              </w:rPr>
              <w:t>开户银行：</w:t>
            </w:r>
          </w:p>
        </w:tc>
        <w:tc>
          <w:tcPr>
            <w:tcW w:w="4517" w:type="dxa"/>
            <w:vAlign w:val="center"/>
          </w:tcPr>
          <w:p w14:paraId="4AF0025A">
            <w:pPr>
              <w:snapToGrid w:val="0"/>
              <w:spacing w:line="360" w:lineRule="exact"/>
              <w:rPr>
                <w:color w:val="auto"/>
                <w:szCs w:val="21"/>
              </w:rPr>
            </w:pPr>
            <w:r>
              <w:rPr>
                <w:rFonts w:hint="eastAsia"/>
                <w:color w:val="auto"/>
                <w:szCs w:val="21"/>
              </w:rPr>
              <w:t>开户银行：</w:t>
            </w:r>
          </w:p>
        </w:tc>
      </w:tr>
      <w:tr w14:paraId="3DEC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1" w:hRule="atLeast"/>
          <w:jc w:val="center"/>
        </w:trPr>
        <w:tc>
          <w:tcPr>
            <w:tcW w:w="4516" w:type="dxa"/>
            <w:vAlign w:val="center"/>
          </w:tcPr>
          <w:p w14:paraId="14F8D1BC">
            <w:pPr>
              <w:snapToGrid w:val="0"/>
              <w:spacing w:line="360" w:lineRule="exact"/>
              <w:rPr>
                <w:color w:val="auto"/>
                <w:szCs w:val="21"/>
              </w:rPr>
            </w:pPr>
            <w:r>
              <w:rPr>
                <w:rFonts w:hint="eastAsia"/>
                <w:color w:val="auto"/>
                <w:szCs w:val="21"/>
              </w:rPr>
              <w:t>账号：</w:t>
            </w:r>
          </w:p>
        </w:tc>
        <w:tc>
          <w:tcPr>
            <w:tcW w:w="4517" w:type="dxa"/>
            <w:vAlign w:val="center"/>
          </w:tcPr>
          <w:p w14:paraId="25D70A12">
            <w:pPr>
              <w:snapToGrid w:val="0"/>
              <w:spacing w:line="360" w:lineRule="exact"/>
              <w:rPr>
                <w:color w:val="auto"/>
                <w:szCs w:val="21"/>
              </w:rPr>
            </w:pPr>
            <w:r>
              <w:rPr>
                <w:rFonts w:hint="eastAsia"/>
                <w:color w:val="auto"/>
                <w:szCs w:val="21"/>
              </w:rPr>
              <w:t>账号：</w:t>
            </w:r>
          </w:p>
        </w:tc>
      </w:tr>
      <w:tr w14:paraId="3CA2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jc w:val="center"/>
        </w:trPr>
        <w:tc>
          <w:tcPr>
            <w:tcW w:w="4516" w:type="dxa"/>
            <w:vAlign w:val="center"/>
          </w:tcPr>
          <w:p w14:paraId="55A01FD9">
            <w:pPr>
              <w:snapToGrid w:val="0"/>
              <w:spacing w:line="360" w:lineRule="exact"/>
              <w:rPr>
                <w:color w:val="auto"/>
                <w:szCs w:val="21"/>
              </w:rPr>
            </w:pPr>
            <w:r>
              <w:rPr>
                <w:rFonts w:hint="eastAsia"/>
                <w:color w:val="auto"/>
                <w:szCs w:val="21"/>
              </w:rPr>
              <w:t>邮政编码：</w:t>
            </w:r>
          </w:p>
        </w:tc>
        <w:tc>
          <w:tcPr>
            <w:tcW w:w="4517" w:type="dxa"/>
            <w:vAlign w:val="center"/>
          </w:tcPr>
          <w:p w14:paraId="59937CBB">
            <w:pPr>
              <w:snapToGrid w:val="0"/>
              <w:spacing w:line="360" w:lineRule="exact"/>
              <w:rPr>
                <w:color w:val="auto"/>
                <w:szCs w:val="21"/>
              </w:rPr>
            </w:pPr>
            <w:r>
              <w:rPr>
                <w:rFonts w:hint="eastAsia"/>
                <w:color w:val="auto"/>
                <w:szCs w:val="21"/>
              </w:rPr>
              <w:t>邮政编码：</w:t>
            </w:r>
          </w:p>
        </w:tc>
      </w:tr>
    </w:tbl>
    <w:p w14:paraId="34369E8A">
      <w:pPr>
        <w:rPr>
          <w:rFonts w:cs="宋体"/>
          <w:b/>
          <w:color w:val="auto"/>
          <w:szCs w:val="21"/>
        </w:rPr>
      </w:pPr>
      <w:bookmarkStart w:id="150" w:name="_Toc3623"/>
      <w:r>
        <w:rPr>
          <w:rFonts w:hint="eastAsia" w:cs="宋体"/>
          <w:b/>
          <w:color w:val="auto"/>
          <w:szCs w:val="21"/>
        </w:rPr>
        <w:br w:type="page"/>
      </w:r>
    </w:p>
    <w:bookmarkEnd w:id="141"/>
    <w:bookmarkEnd w:id="150"/>
    <w:p w14:paraId="36085167">
      <w:pPr>
        <w:snapToGrid w:val="0"/>
        <w:spacing w:line="480" w:lineRule="auto"/>
        <w:rPr>
          <w:rFonts w:ascii="宋体" w:hAnsi="宋体"/>
          <w:bCs/>
          <w:sz w:val="32"/>
          <w:szCs w:val="32"/>
        </w:rPr>
      </w:pPr>
    </w:p>
    <w:p w14:paraId="17A10B18">
      <w:pPr>
        <w:snapToGrid w:val="0"/>
        <w:jc w:val="center"/>
        <w:rPr>
          <w:rFonts w:ascii="宋体" w:hAnsi="宋体"/>
          <w:bCs/>
          <w:sz w:val="32"/>
          <w:szCs w:val="32"/>
        </w:rPr>
      </w:pPr>
    </w:p>
    <w:p w14:paraId="5D952D49">
      <w:pPr>
        <w:snapToGrid w:val="0"/>
        <w:jc w:val="center"/>
        <w:rPr>
          <w:rFonts w:ascii="宋体" w:hAnsi="宋体"/>
          <w:bCs/>
          <w:sz w:val="32"/>
          <w:szCs w:val="32"/>
        </w:rPr>
      </w:pPr>
    </w:p>
    <w:p w14:paraId="3C105EDE">
      <w:pPr>
        <w:snapToGrid w:val="0"/>
        <w:jc w:val="center"/>
        <w:rPr>
          <w:rFonts w:ascii="宋体" w:hAnsi="宋体"/>
          <w:bCs/>
          <w:sz w:val="32"/>
          <w:szCs w:val="32"/>
        </w:rPr>
      </w:pPr>
    </w:p>
    <w:p w14:paraId="280A0442">
      <w:pPr>
        <w:snapToGrid w:val="0"/>
        <w:jc w:val="center"/>
        <w:rPr>
          <w:rFonts w:ascii="宋体" w:hAnsi="宋体"/>
          <w:bCs/>
          <w:sz w:val="32"/>
          <w:szCs w:val="32"/>
        </w:rPr>
      </w:pPr>
    </w:p>
    <w:p w14:paraId="6D35CFA4">
      <w:pPr>
        <w:snapToGrid w:val="0"/>
        <w:jc w:val="center"/>
        <w:rPr>
          <w:rFonts w:ascii="宋体" w:hAnsi="宋体"/>
          <w:bCs/>
          <w:sz w:val="32"/>
          <w:szCs w:val="32"/>
        </w:rPr>
      </w:pPr>
    </w:p>
    <w:p w14:paraId="74A9C5AA">
      <w:pPr>
        <w:snapToGrid w:val="0"/>
        <w:jc w:val="center"/>
        <w:rPr>
          <w:rFonts w:ascii="宋体" w:hAnsi="宋体"/>
          <w:bCs/>
          <w:sz w:val="32"/>
          <w:szCs w:val="32"/>
        </w:rPr>
      </w:pPr>
    </w:p>
    <w:p w14:paraId="73ED1DDF">
      <w:pPr>
        <w:snapToGrid w:val="0"/>
        <w:jc w:val="center"/>
        <w:rPr>
          <w:rFonts w:ascii="宋体" w:hAnsi="宋体"/>
          <w:bCs/>
          <w:sz w:val="32"/>
          <w:szCs w:val="32"/>
        </w:rPr>
      </w:pPr>
    </w:p>
    <w:p w14:paraId="7E6139CD">
      <w:pPr>
        <w:snapToGrid w:val="0"/>
        <w:jc w:val="center"/>
        <w:rPr>
          <w:rFonts w:ascii="宋体" w:hAnsi="宋体"/>
          <w:bCs/>
          <w:sz w:val="32"/>
          <w:szCs w:val="32"/>
        </w:rPr>
      </w:pPr>
    </w:p>
    <w:p w14:paraId="5F8EA6EC">
      <w:pPr>
        <w:snapToGrid w:val="0"/>
        <w:jc w:val="center"/>
        <w:rPr>
          <w:rFonts w:ascii="宋体" w:hAnsi="宋体"/>
          <w:bCs/>
          <w:sz w:val="32"/>
          <w:szCs w:val="32"/>
        </w:rPr>
      </w:pPr>
    </w:p>
    <w:p w14:paraId="35816D2C">
      <w:pPr>
        <w:snapToGrid w:val="0"/>
        <w:jc w:val="center"/>
        <w:rPr>
          <w:rFonts w:ascii="宋体" w:hAnsi="宋体"/>
          <w:bCs/>
          <w:sz w:val="32"/>
          <w:szCs w:val="32"/>
        </w:rPr>
      </w:pPr>
    </w:p>
    <w:p w14:paraId="156A2B5B">
      <w:pPr>
        <w:snapToGrid w:val="0"/>
        <w:jc w:val="center"/>
        <w:rPr>
          <w:rFonts w:ascii="宋体" w:hAnsi="宋体"/>
          <w:bCs/>
          <w:sz w:val="32"/>
          <w:szCs w:val="32"/>
        </w:rPr>
      </w:pPr>
    </w:p>
    <w:p w14:paraId="77F4E9CF">
      <w:pPr>
        <w:pStyle w:val="4"/>
        <w:keepNext w:val="0"/>
        <w:keepLines w:val="0"/>
        <w:jc w:val="center"/>
      </w:pPr>
      <w:bookmarkStart w:id="151" w:name="_Toc22558"/>
      <w:bookmarkStart w:id="152" w:name="_Toc1027"/>
      <w:r>
        <w:rPr>
          <w:rFonts w:hint="eastAsia"/>
        </w:rPr>
        <w:t>第六章　投标文件格式</w:t>
      </w:r>
      <w:bookmarkEnd w:id="151"/>
      <w:bookmarkEnd w:id="152"/>
    </w:p>
    <w:p w14:paraId="49655C6A">
      <w:pPr>
        <w:snapToGrid w:val="0"/>
        <w:spacing w:before="50" w:after="50"/>
        <w:outlineLvl w:val="1"/>
        <w:rPr>
          <w:rFonts w:ascii="宋体" w:hAnsi="宋体"/>
          <w:sz w:val="32"/>
          <w:szCs w:val="20"/>
        </w:rPr>
      </w:pPr>
    </w:p>
    <w:p w14:paraId="2E6E1116">
      <w:pPr>
        <w:snapToGrid w:val="0"/>
        <w:spacing w:before="50" w:after="50"/>
        <w:outlineLvl w:val="1"/>
        <w:rPr>
          <w:rFonts w:ascii="宋体" w:hAnsi="宋体"/>
          <w:sz w:val="32"/>
          <w:szCs w:val="20"/>
        </w:rPr>
      </w:pPr>
    </w:p>
    <w:p w14:paraId="55876164">
      <w:pPr>
        <w:snapToGrid w:val="0"/>
        <w:spacing w:before="50" w:after="50"/>
        <w:outlineLvl w:val="1"/>
        <w:rPr>
          <w:rFonts w:ascii="宋体" w:hAnsi="宋体"/>
          <w:sz w:val="32"/>
          <w:szCs w:val="20"/>
        </w:rPr>
      </w:pPr>
    </w:p>
    <w:p w14:paraId="2116B2ED">
      <w:pPr>
        <w:snapToGrid w:val="0"/>
        <w:spacing w:before="50" w:after="50"/>
        <w:outlineLvl w:val="1"/>
        <w:rPr>
          <w:rFonts w:ascii="宋体" w:hAnsi="宋体"/>
          <w:sz w:val="32"/>
          <w:szCs w:val="20"/>
        </w:rPr>
      </w:pPr>
    </w:p>
    <w:p w14:paraId="0100F179">
      <w:pPr>
        <w:snapToGrid w:val="0"/>
        <w:spacing w:before="50" w:after="50"/>
        <w:outlineLvl w:val="1"/>
        <w:rPr>
          <w:rFonts w:ascii="宋体" w:hAnsi="宋体"/>
          <w:sz w:val="32"/>
          <w:szCs w:val="20"/>
        </w:rPr>
      </w:pPr>
    </w:p>
    <w:p w14:paraId="70F1E8C7">
      <w:pPr>
        <w:snapToGrid w:val="0"/>
        <w:spacing w:before="50" w:after="50"/>
        <w:outlineLvl w:val="1"/>
        <w:rPr>
          <w:rFonts w:ascii="宋体" w:hAnsi="宋体"/>
          <w:sz w:val="32"/>
          <w:szCs w:val="20"/>
        </w:rPr>
      </w:pPr>
    </w:p>
    <w:p w14:paraId="0679EF91">
      <w:pPr>
        <w:snapToGrid w:val="0"/>
        <w:spacing w:before="50" w:after="50"/>
        <w:outlineLvl w:val="1"/>
        <w:rPr>
          <w:rFonts w:ascii="宋体" w:hAnsi="宋体"/>
          <w:sz w:val="32"/>
          <w:szCs w:val="20"/>
        </w:rPr>
      </w:pPr>
    </w:p>
    <w:p w14:paraId="7A1F2862">
      <w:pPr>
        <w:snapToGrid w:val="0"/>
        <w:spacing w:before="50" w:after="50"/>
        <w:outlineLvl w:val="1"/>
        <w:rPr>
          <w:rFonts w:ascii="宋体" w:hAnsi="宋体"/>
          <w:sz w:val="32"/>
          <w:szCs w:val="20"/>
        </w:rPr>
      </w:pPr>
    </w:p>
    <w:p w14:paraId="0DDA736A">
      <w:pPr>
        <w:snapToGrid w:val="0"/>
        <w:spacing w:before="50" w:after="50"/>
        <w:outlineLvl w:val="1"/>
        <w:rPr>
          <w:rFonts w:ascii="宋体" w:hAnsi="宋体"/>
          <w:sz w:val="32"/>
          <w:szCs w:val="20"/>
        </w:rPr>
      </w:pPr>
    </w:p>
    <w:p w14:paraId="4FC8F2FB">
      <w:pPr>
        <w:snapToGrid w:val="0"/>
        <w:spacing w:before="50" w:after="50"/>
        <w:outlineLvl w:val="1"/>
        <w:rPr>
          <w:rFonts w:ascii="宋体" w:hAnsi="宋体"/>
          <w:sz w:val="32"/>
          <w:szCs w:val="20"/>
        </w:rPr>
      </w:pPr>
    </w:p>
    <w:p w14:paraId="5643FA28">
      <w:pPr>
        <w:snapToGrid w:val="0"/>
        <w:spacing w:before="50" w:after="50"/>
        <w:outlineLvl w:val="1"/>
        <w:rPr>
          <w:rFonts w:ascii="宋体" w:hAnsi="宋体"/>
          <w:sz w:val="32"/>
          <w:szCs w:val="20"/>
        </w:rPr>
      </w:pPr>
    </w:p>
    <w:p w14:paraId="1E93AADF">
      <w:pPr>
        <w:snapToGrid w:val="0"/>
        <w:spacing w:before="50" w:after="50"/>
        <w:outlineLvl w:val="1"/>
        <w:rPr>
          <w:rFonts w:ascii="宋体" w:hAnsi="宋体"/>
          <w:sz w:val="32"/>
          <w:szCs w:val="20"/>
        </w:rPr>
      </w:pPr>
    </w:p>
    <w:p w14:paraId="13896B7A">
      <w:pPr>
        <w:snapToGrid w:val="0"/>
        <w:spacing w:before="50" w:after="50"/>
        <w:outlineLvl w:val="1"/>
        <w:rPr>
          <w:rFonts w:ascii="宋体" w:hAnsi="宋体"/>
          <w:sz w:val="32"/>
          <w:szCs w:val="20"/>
        </w:rPr>
      </w:pPr>
    </w:p>
    <w:p w14:paraId="5A860936">
      <w:pPr>
        <w:snapToGrid w:val="0"/>
        <w:spacing w:before="50" w:after="50"/>
        <w:jc w:val="center"/>
        <w:outlineLvl w:val="1"/>
        <w:rPr>
          <w:rFonts w:ascii="宋体" w:hAnsi="宋体"/>
          <w:b/>
          <w:bCs/>
          <w:sz w:val="28"/>
          <w:szCs w:val="28"/>
        </w:rPr>
      </w:pPr>
      <w:r>
        <w:rPr>
          <w:rFonts w:ascii="宋体" w:hAnsi="宋体"/>
          <w:sz w:val="32"/>
          <w:szCs w:val="20"/>
        </w:rPr>
        <w:br w:type="page"/>
      </w:r>
      <w:bookmarkStart w:id="153" w:name="_Toc254970697"/>
      <w:bookmarkStart w:id="154" w:name="_Toc254970556"/>
      <w:bookmarkStart w:id="155" w:name="_Toc26755"/>
      <w:bookmarkStart w:id="156" w:name="_Toc25058"/>
      <w:bookmarkStart w:id="157" w:name="_Toc19686835"/>
      <w:r>
        <w:rPr>
          <w:rFonts w:hint="eastAsia"/>
          <w:b/>
          <w:sz w:val="28"/>
          <w:szCs w:val="28"/>
        </w:rPr>
        <w:t>第一节</w:t>
      </w:r>
      <w:r>
        <w:rPr>
          <w:rFonts w:hint="eastAsia" w:ascii="宋体" w:hAnsi="宋体"/>
          <w:b/>
          <w:bCs/>
          <w:sz w:val="28"/>
          <w:szCs w:val="28"/>
        </w:rPr>
        <w:t>投标文件外层包装封面格式</w:t>
      </w:r>
      <w:bookmarkEnd w:id="153"/>
      <w:bookmarkEnd w:id="154"/>
      <w:bookmarkEnd w:id="155"/>
      <w:bookmarkEnd w:id="156"/>
      <w:bookmarkEnd w:id="157"/>
    </w:p>
    <w:p w14:paraId="26C2A7F7">
      <w:pPr>
        <w:snapToGrid w:val="0"/>
        <w:spacing w:beforeLines="50" w:after="50"/>
        <w:rPr>
          <w:rFonts w:ascii="宋体" w:hAnsi="宋体"/>
          <w:sz w:val="24"/>
          <w:szCs w:val="20"/>
        </w:rPr>
      </w:pPr>
    </w:p>
    <w:p w14:paraId="045C88B9">
      <w:pPr>
        <w:pStyle w:val="12"/>
      </w:pPr>
    </w:p>
    <w:p w14:paraId="5E3E5C23">
      <w:pPr>
        <w:snapToGrid w:val="0"/>
        <w:spacing w:beforeLines="50" w:after="50"/>
        <w:jc w:val="center"/>
        <w:rPr>
          <w:rFonts w:ascii="宋体" w:hAnsi="宋体"/>
          <w:bCs/>
          <w:sz w:val="24"/>
          <w:szCs w:val="20"/>
        </w:rPr>
      </w:pPr>
    </w:p>
    <w:p w14:paraId="7B8BE7DF">
      <w:pPr>
        <w:snapToGrid w:val="0"/>
        <w:spacing w:beforeLines="50" w:after="50"/>
        <w:jc w:val="center"/>
        <w:rPr>
          <w:rFonts w:ascii="宋体" w:hAnsi="宋体"/>
          <w:b/>
          <w:sz w:val="32"/>
          <w:szCs w:val="32"/>
        </w:rPr>
      </w:pPr>
      <w:r>
        <w:rPr>
          <w:rFonts w:hint="eastAsia" w:ascii="宋体" w:hAnsi="宋体"/>
          <w:b/>
          <w:sz w:val="32"/>
          <w:szCs w:val="32"/>
        </w:rPr>
        <w:t>投标文件</w:t>
      </w:r>
    </w:p>
    <w:p w14:paraId="6D3CA1C0">
      <w:pPr>
        <w:snapToGrid w:val="0"/>
        <w:spacing w:beforeLines="50" w:after="50"/>
        <w:rPr>
          <w:rFonts w:ascii="宋体" w:hAnsi="宋体"/>
          <w:bCs/>
          <w:sz w:val="24"/>
          <w:szCs w:val="20"/>
        </w:rPr>
      </w:pPr>
    </w:p>
    <w:p w14:paraId="39C4ABCF">
      <w:pPr>
        <w:snapToGrid w:val="0"/>
        <w:spacing w:beforeLines="50" w:after="50"/>
        <w:rPr>
          <w:rFonts w:ascii="宋体" w:hAnsi="宋体"/>
          <w:bCs/>
          <w:sz w:val="24"/>
          <w:szCs w:val="20"/>
        </w:rPr>
      </w:pPr>
    </w:p>
    <w:p w14:paraId="6C810DA2">
      <w:pPr>
        <w:snapToGrid w:val="0"/>
        <w:spacing w:beforeLines="50" w:after="50"/>
        <w:rPr>
          <w:rFonts w:ascii="宋体" w:hAnsi="宋体"/>
          <w:bCs/>
          <w:sz w:val="24"/>
          <w:szCs w:val="20"/>
        </w:rPr>
      </w:pPr>
    </w:p>
    <w:p w14:paraId="1DB0BE0D">
      <w:pPr>
        <w:snapToGrid w:val="0"/>
        <w:spacing w:beforeLines="50" w:after="50"/>
        <w:rPr>
          <w:rFonts w:ascii="宋体" w:hAnsi="宋体"/>
          <w:bCs/>
          <w:sz w:val="24"/>
          <w:szCs w:val="20"/>
        </w:rPr>
      </w:pPr>
    </w:p>
    <w:p w14:paraId="0CF7B7DE">
      <w:pPr>
        <w:snapToGrid w:val="0"/>
        <w:spacing w:beforeLines="50" w:after="50"/>
        <w:rPr>
          <w:rFonts w:ascii="宋体" w:hAnsi="宋体"/>
          <w:bCs/>
          <w:sz w:val="24"/>
          <w:szCs w:val="20"/>
        </w:rPr>
      </w:pPr>
    </w:p>
    <w:p w14:paraId="0B920C5A">
      <w:pPr>
        <w:snapToGrid w:val="0"/>
        <w:spacing w:beforeLines="50" w:after="50"/>
        <w:rPr>
          <w:rFonts w:ascii="宋体" w:hAnsi="宋体"/>
          <w:bCs/>
          <w:sz w:val="24"/>
          <w:szCs w:val="20"/>
        </w:rPr>
      </w:pPr>
    </w:p>
    <w:p w14:paraId="3A43F971">
      <w:pPr>
        <w:snapToGrid w:val="0"/>
        <w:spacing w:beforeLines="50" w:after="50"/>
        <w:ind w:firstLine="360" w:firstLineChars="150"/>
        <w:rPr>
          <w:rFonts w:ascii="宋体" w:hAnsi="宋体"/>
          <w:bCs/>
          <w:sz w:val="24"/>
        </w:rPr>
      </w:pPr>
      <w:r>
        <w:rPr>
          <w:rFonts w:hint="eastAsia" w:ascii="宋体" w:hAnsi="宋体"/>
          <w:bCs/>
          <w:sz w:val="24"/>
        </w:rPr>
        <w:t>项目名称：</w:t>
      </w:r>
    </w:p>
    <w:p w14:paraId="23096481">
      <w:pPr>
        <w:snapToGrid w:val="0"/>
        <w:spacing w:beforeLines="50" w:after="50"/>
        <w:ind w:firstLine="360" w:firstLineChars="150"/>
        <w:rPr>
          <w:rFonts w:ascii="宋体" w:hAnsi="宋体"/>
          <w:bCs/>
          <w:sz w:val="24"/>
          <w:szCs w:val="20"/>
        </w:rPr>
      </w:pPr>
    </w:p>
    <w:p w14:paraId="15277F68">
      <w:pPr>
        <w:snapToGrid w:val="0"/>
        <w:spacing w:beforeLines="50" w:after="50"/>
        <w:ind w:firstLine="360" w:firstLineChars="150"/>
        <w:rPr>
          <w:rFonts w:ascii="宋体" w:hAnsi="宋体"/>
          <w:bCs/>
          <w:sz w:val="24"/>
        </w:rPr>
      </w:pPr>
      <w:r>
        <w:rPr>
          <w:rFonts w:hint="eastAsia" w:ascii="宋体" w:hAnsi="宋体"/>
          <w:bCs/>
          <w:sz w:val="24"/>
        </w:rPr>
        <w:t>项目编号：</w:t>
      </w:r>
    </w:p>
    <w:p w14:paraId="7637AE32">
      <w:pPr>
        <w:snapToGrid w:val="0"/>
        <w:spacing w:beforeLines="50" w:after="50"/>
        <w:ind w:firstLine="360" w:firstLineChars="150"/>
        <w:rPr>
          <w:rFonts w:ascii="宋体" w:hAnsi="宋体"/>
          <w:bCs/>
          <w:sz w:val="24"/>
          <w:szCs w:val="20"/>
        </w:rPr>
      </w:pPr>
    </w:p>
    <w:p w14:paraId="63CE24FD">
      <w:pPr>
        <w:snapToGrid w:val="0"/>
        <w:spacing w:beforeLines="50" w:after="50"/>
        <w:ind w:firstLine="360" w:firstLineChars="150"/>
        <w:rPr>
          <w:rFonts w:ascii="宋体" w:hAnsi="宋体"/>
          <w:bCs/>
          <w:sz w:val="24"/>
        </w:rPr>
      </w:pPr>
      <w:r>
        <w:rPr>
          <w:rFonts w:hint="eastAsia" w:ascii="宋体" w:hAnsi="宋体"/>
          <w:bCs/>
          <w:sz w:val="24"/>
        </w:rPr>
        <w:t>所投分标：</w:t>
      </w:r>
    </w:p>
    <w:p w14:paraId="39CBDDCF">
      <w:pPr>
        <w:snapToGrid w:val="0"/>
        <w:spacing w:beforeLines="50" w:after="50"/>
        <w:rPr>
          <w:rFonts w:ascii="宋体" w:hAnsi="宋体"/>
          <w:bCs/>
          <w:sz w:val="24"/>
          <w:szCs w:val="20"/>
        </w:rPr>
      </w:pPr>
    </w:p>
    <w:p w14:paraId="67EEB61D">
      <w:pPr>
        <w:snapToGrid w:val="0"/>
        <w:spacing w:beforeLines="50" w:after="50"/>
        <w:ind w:firstLine="360" w:firstLineChars="150"/>
        <w:rPr>
          <w:rFonts w:ascii="宋体" w:hAnsi="宋体"/>
          <w:bCs/>
          <w:sz w:val="24"/>
          <w:szCs w:val="20"/>
        </w:rPr>
      </w:pPr>
      <w:r>
        <w:rPr>
          <w:rFonts w:hint="eastAsia" w:ascii="宋体" w:hAnsi="宋体"/>
          <w:bCs/>
          <w:sz w:val="24"/>
          <w:szCs w:val="20"/>
        </w:rPr>
        <w:t>投标人名称：</w:t>
      </w:r>
    </w:p>
    <w:p w14:paraId="5E2C9D3C">
      <w:pPr>
        <w:snapToGrid w:val="0"/>
        <w:spacing w:beforeLines="50" w:after="50"/>
        <w:ind w:firstLine="360" w:firstLineChars="150"/>
        <w:rPr>
          <w:rFonts w:ascii="宋体" w:hAnsi="宋体"/>
          <w:bCs/>
          <w:sz w:val="24"/>
          <w:szCs w:val="20"/>
        </w:rPr>
      </w:pPr>
    </w:p>
    <w:p w14:paraId="5A695FF0">
      <w:pPr>
        <w:snapToGrid w:val="0"/>
        <w:spacing w:beforeLines="50" w:after="50"/>
        <w:ind w:firstLine="360" w:firstLineChars="150"/>
        <w:rPr>
          <w:rFonts w:ascii="宋体" w:hAnsi="宋体"/>
          <w:bCs/>
          <w:sz w:val="24"/>
          <w:szCs w:val="20"/>
        </w:rPr>
      </w:pPr>
      <w:r>
        <w:rPr>
          <w:rFonts w:hint="eastAsia" w:ascii="宋体" w:hAnsi="宋体"/>
          <w:bCs/>
          <w:sz w:val="24"/>
          <w:szCs w:val="20"/>
        </w:rPr>
        <w:t>投标人地址：</w:t>
      </w:r>
    </w:p>
    <w:p w14:paraId="325B4CCB">
      <w:pPr>
        <w:snapToGrid w:val="0"/>
        <w:spacing w:beforeLines="50" w:after="50"/>
        <w:ind w:firstLine="360" w:firstLineChars="150"/>
        <w:rPr>
          <w:rFonts w:ascii="宋体" w:hAnsi="宋体"/>
          <w:bCs/>
          <w:sz w:val="24"/>
          <w:szCs w:val="20"/>
        </w:rPr>
      </w:pPr>
    </w:p>
    <w:p w14:paraId="34066FE8">
      <w:pPr>
        <w:snapToGrid w:val="0"/>
        <w:spacing w:beforeLines="50" w:after="50"/>
        <w:ind w:firstLine="360" w:firstLineChars="150"/>
        <w:jc w:val="center"/>
        <w:rPr>
          <w:rFonts w:ascii="宋体" w:hAnsi="宋体"/>
          <w:bCs/>
          <w:sz w:val="24"/>
        </w:rPr>
      </w:pPr>
      <w:r>
        <w:rPr>
          <w:rFonts w:hint="eastAsia" w:ascii="宋体" w:hAnsi="宋体"/>
          <w:bCs/>
          <w:sz w:val="24"/>
          <w:szCs w:val="20"/>
        </w:rPr>
        <w:t>投标截止时间前不得启封</w:t>
      </w:r>
    </w:p>
    <w:p w14:paraId="0FCB7F0B">
      <w:pPr>
        <w:snapToGrid w:val="0"/>
        <w:spacing w:beforeLines="50" w:after="50"/>
        <w:ind w:firstLine="4080" w:firstLineChars="1700"/>
        <w:rPr>
          <w:rFonts w:ascii="宋体" w:hAnsi="宋体"/>
          <w:bCs/>
          <w:sz w:val="24"/>
          <w:szCs w:val="20"/>
        </w:rPr>
      </w:pPr>
    </w:p>
    <w:p w14:paraId="0AF6C3B0">
      <w:pPr>
        <w:snapToGrid w:val="0"/>
        <w:spacing w:beforeLines="50" w:after="50"/>
        <w:ind w:firstLine="645"/>
        <w:jc w:val="left"/>
        <w:rPr>
          <w:rFonts w:ascii="宋体" w:hAnsi="宋体"/>
          <w:bCs/>
          <w:sz w:val="24"/>
          <w:szCs w:val="20"/>
        </w:rPr>
      </w:pPr>
      <w:r>
        <w:rPr>
          <w:rFonts w:hint="eastAsia" w:ascii="宋体" w:hAnsi="宋体"/>
          <w:bCs/>
          <w:sz w:val="24"/>
        </w:rPr>
        <w:t xml:space="preserve">                        年    月    日</w:t>
      </w:r>
    </w:p>
    <w:p w14:paraId="78E11A09">
      <w:pPr>
        <w:snapToGrid w:val="0"/>
        <w:spacing w:beforeLines="50" w:after="50"/>
        <w:jc w:val="center"/>
        <w:outlineLvl w:val="1"/>
        <w:rPr>
          <w:rFonts w:ascii="宋体" w:hAnsi="宋体"/>
        </w:rPr>
      </w:pPr>
    </w:p>
    <w:p w14:paraId="7EA86461">
      <w:pPr>
        <w:snapToGrid w:val="0"/>
        <w:spacing w:beforeLines="50" w:after="50"/>
        <w:jc w:val="center"/>
        <w:outlineLvl w:val="1"/>
        <w:rPr>
          <w:rFonts w:ascii="宋体" w:hAnsi="宋体"/>
        </w:rPr>
      </w:pPr>
    </w:p>
    <w:p w14:paraId="6AF81F63">
      <w:pPr>
        <w:snapToGrid w:val="0"/>
        <w:spacing w:beforeLines="50" w:after="50"/>
        <w:jc w:val="center"/>
        <w:outlineLvl w:val="1"/>
        <w:rPr>
          <w:rFonts w:ascii="宋体" w:hAnsi="宋体"/>
        </w:rPr>
      </w:pPr>
    </w:p>
    <w:p w14:paraId="643E1CE5">
      <w:pPr>
        <w:snapToGrid w:val="0"/>
        <w:spacing w:beforeLines="50" w:after="50"/>
        <w:jc w:val="center"/>
        <w:outlineLvl w:val="1"/>
        <w:rPr>
          <w:rFonts w:ascii="宋体" w:hAnsi="宋体"/>
        </w:rPr>
      </w:pPr>
      <w:r>
        <w:rPr>
          <w:rFonts w:ascii="宋体" w:hAnsi="宋体"/>
        </w:rPr>
        <w:br w:type="page"/>
      </w:r>
    </w:p>
    <w:p w14:paraId="5DBE8F8D">
      <w:pPr>
        <w:snapToGrid w:val="0"/>
        <w:spacing w:beforeLines="50" w:after="50" w:line="360" w:lineRule="auto"/>
        <w:jc w:val="center"/>
        <w:outlineLvl w:val="1"/>
        <w:rPr>
          <w:rFonts w:ascii="宋体" w:hAnsi="宋体"/>
          <w:b/>
          <w:bCs/>
          <w:sz w:val="28"/>
          <w:szCs w:val="28"/>
        </w:rPr>
      </w:pPr>
      <w:bookmarkStart w:id="158" w:name="_Toc28877"/>
      <w:bookmarkStart w:id="159" w:name="_Toc8872"/>
      <w:bookmarkStart w:id="160" w:name="_Toc19686836"/>
      <w:bookmarkStart w:id="161" w:name="_Toc254970557"/>
      <w:bookmarkStart w:id="162" w:name="_Toc254970698"/>
      <w:r>
        <w:rPr>
          <w:rFonts w:hint="eastAsia"/>
          <w:b/>
          <w:sz w:val="28"/>
          <w:szCs w:val="28"/>
        </w:rPr>
        <w:t>第二节</w:t>
      </w:r>
      <w:r>
        <w:rPr>
          <w:rFonts w:hint="eastAsia" w:ascii="宋体" w:hAnsi="宋体"/>
          <w:b/>
          <w:bCs/>
          <w:sz w:val="28"/>
          <w:szCs w:val="28"/>
        </w:rPr>
        <w:t>报价文件格式</w:t>
      </w:r>
      <w:bookmarkEnd w:id="158"/>
      <w:bookmarkEnd w:id="159"/>
      <w:bookmarkEnd w:id="160"/>
    </w:p>
    <w:p w14:paraId="647F0AA3">
      <w:pPr>
        <w:pStyle w:val="12"/>
      </w:pPr>
    </w:p>
    <w:p w14:paraId="3F0C4143"/>
    <w:p w14:paraId="48B86556">
      <w:pPr>
        <w:snapToGrid w:val="0"/>
        <w:spacing w:beforeLines="50" w:after="50" w:line="400" w:lineRule="exact"/>
        <w:rPr>
          <w:rFonts w:ascii="宋体" w:hAnsi="宋体"/>
          <w:bCs/>
          <w:sz w:val="32"/>
          <w:szCs w:val="20"/>
        </w:rPr>
      </w:pPr>
      <w:r>
        <w:rPr>
          <w:rFonts w:hint="eastAsia" w:ascii="宋体" w:hAnsi="宋体" w:cs="宋体"/>
          <w:bCs/>
        </w:rPr>
        <w:t>电子投标文件</w:t>
      </w:r>
    </w:p>
    <w:p w14:paraId="04A65394">
      <w:pPr>
        <w:snapToGrid w:val="0"/>
        <w:spacing w:beforeLines="50" w:after="50" w:line="400" w:lineRule="exact"/>
        <w:jc w:val="center"/>
        <w:rPr>
          <w:rFonts w:ascii="宋体" w:hAnsi="宋体"/>
          <w:bCs/>
          <w:sz w:val="24"/>
          <w:szCs w:val="20"/>
        </w:rPr>
      </w:pPr>
    </w:p>
    <w:p w14:paraId="010D3B6A">
      <w:pPr>
        <w:pStyle w:val="12"/>
        <w:rPr>
          <w:rFonts w:ascii="宋体" w:hAnsi="宋体"/>
          <w:bCs/>
          <w:szCs w:val="20"/>
        </w:rPr>
      </w:pPr>
    </w:p>
    <w:p w14:paraId="2BC9766F"/>
    <w:p w14:paraId="70741BB6">
      <w:pPr>
        <w:snapToGrid w:val="0"/>
        <w:spacing w:beforeLines="50" w:after="50" w:line="400" w:lineRule="exact"/>
        <w:jc w:val="center"/>
        <w:rPr>
          <w:rFonts w:ascii="宋体" w:hAnsi="宋体"/>
          <w:b/>
          <w:bCs/>
          <w:sz w:val="32"/>
          <w:szCs w:val="32"/>
        </w:rPr>
      </w:pPr>
      <w:r>
        <w:rPr>
          <w:rFonts w:hint="eastAsia" w:ascii="宋体" w:hAnsi="宋体"/>
          <w:b/>
          <w:bCs/>
          <w:sz w:val="32"/>
          <w:szCs w:val="32"/>
        </w:rPr>
        <w:t>报价文件</w:t>
      </w:r>
    </w:p>
    <w:p w14:paraId="28704A81">
      <w:pPr>
        <w:snapToGrid w:val="0"/>
        <w:spacing w:beforeLines="50" w:after="50" w:line="400" w:lineRule="exact"/>
        <w:rPr>
          <w:rFonts w:ascii="宋体" w:hAnsi="宋体"/>
          <w:bCs/>
          <w:sz w:val="24"/>
          <w:szCs w:val="20"/>
        </w:rPr>
      </w:pPr>
    </w:p>
    <w:p w14:paraId="7A7518AB">
      <w:pPr>
        <w:snapToGrid w:val="0"/>
        <w:spacing w:beforeLines="50" w:after="50" w:line="400" w:lineRule="exact"/>
        <w:rPr>
          <w:rFonts w:ascii="宋体" w:hAnsi="宋体"/>
          <w:bCs/>
          <w:sz w:val="24"/>
          <w:szCs w:val="20"/>
        </w:rPr>
      </w:pPr>
    </w:p>
    <w:p w14:paraId="301F0429">
      <w:pPr>
        <w:snapToGrid w:val="0"/>
        <w:spacing w:beforeLines="50" w:after="50" w:line="400" w:lineRule="exact"/>
        <w:rPr>
          <w:rFonts w:ascii="宋体" w:hAnsi="宋体"/>
          <w:bCs/>
          <w:sz w:val="24"/>
          <w:szCs w:val="20"/>
        </w:rPr>
      </w:pPr>
    </w:p>
    <w:p w14:paraId="1AB30A8E">
      <w:pPr>
        <w:snapToGrid w:val="0"/>
        <w:spacing w:beforeLines="50" w:after="50" w:line="400" w:lineRule="exact"/>
        <w:ind w:firstLine="360" w:firstLineChars="150"/>
        <w:rPr>
          <w:rFonts w:ascii="宋体" w:hAnsi="宋体"/>
          <w:bCs/>
          <w:sz w:val="24"/>
        </w:rPr>
      </w:pPr>
      <w:r>
        <w:rPr>
          <w:rFonts w:hint="eastAsia" w:ascii="宋体" w:hAnsi="宋体"/>
          <w:bCs/>
          <w:sz w:val="24"/>
        </w:rPr>
        <w:t xml:space="preserve">项目名称： </w:t>
      </w:r>
    </w:p>
    <w:p w14:paraId="706F3900">
      <w:pPr>
        <w:snapToGrid w:val="0"/>
        <w:spacing w:beforeLines="50" w:after="50" w:line="400" w:lineRule="exact"/>
        <w:ind w:firstLine="360" w:firstLineChars="150"/>
        <w:rPr>
          <w:rFonts w:ascii="宋体" w:hAnsi="宋体"/>
          <w:bCs/>
          <w:sz w:val="24"/>
        </w:rPr>
      </w:pPr>
    </w:p>
    <w:p w14:paraId="39160B54">
      <w:pPr>
        <w:snapToGrid w:val="0"/>
        <w:spacing w:beforeLines="50" w:after="50" w:line="400" w:lineRule="exact"/>
        <w:ind w:firstLine="360" w:firstLineChars="150"/>
        <w:rPr>
          <w:rFonts w:ascii="宋体" w:hAnsi="宋体"/>
          <w:bCs/>
          <w:sz w:val="24"/>
        </w:rPr>
      </w:pPr>
      <w:r>
        <w:rPr>
          <w:rFonts w:hint="eastAsia" w:ascii="宋体" w:hAnsi="宋体"/>
          <w:bCs/>
          <w:sz w:val="24"/>
        </w:rPr>
        <w:t xml:space="preserve">项目编号： </w:t>
      </w:r>
    </w:p>
    <w:p w14:paraId="5E77C469">
      <w:pPr>
        <w:snapToGrid w:val="0"/>
        <w:spacing w:beforeLines="50" w:after="50" w:line="400" w:lineRule="exact"/>
        <w:ind w:firstLine="360" w:firstLineChars="150"/>
        <w:rPr>
          <w:rFonts w:ascii="宋体" w:hAnsi="宋体"/>
          <w:bCs/>
          <w:sz w:val="24"/>
        </w:rPr>
      </w:pPr>
    </w:p>
    <w:p w14:paraId="275965F2">
      <w:pPr>
        <w:snapToGrid w:val="0"/>
        <w:spacing w:beforeLines="50" w:after="50" w:line="400" w:lineRule="exact"/>
        <w:ind w:firstLine="360" w:firstLineChars="150"/>
        <w:rPr>
          <w:rFonts w:ascii="宋体" w:hAnsi="宋体"/>
          <w:bCs/>
          <w:sz w:val="24"/>
        </w:rPr>
      </w:pPr>
      <w:r>
        <w:rPr>
          <w:rFonts w:hint="eastAsia" w:ascii="宋体" w:hAnsi="宋体"/>
          <w:bCs/>
          <w:sz w:val="24"/>
        </w:rPr>
        <w:t>所投分标：</w:t>
      </w:r>
    </w:p>
    <w:p w14:paraId="6C617306">
      <w:pPr>
        <w:snapToGrid w:val="0"/>
        <w:spacing w:beforeLines="50" w:after="50" w:line="400" w:lineRule="exact"/>
        <w:ind w:firstLine="360" w:firstLineChars="150"/>
        <w:rPr>
          <w:rFonts w:ascii="宋体" w:hAnsi="宋体"/>
          <w:bCs/>
          <w:sz w:val="24"/>
        </w:rPr>
      </w:pPr>
    </w:p>
    <w:p w14:paraId="207E79D6">
      <w:pPr>
        <w:snapToGrid w:val="0"/>
        <w:spacing w:beforeLines="50" w:after="50" w:line="400" w:lineRule="exact"/>
        <w:ind w:firstLine="360" w:firstLineChars="150"/>
        <w:rPr>
          <w:rFonts w:ascii="宋体" w:hAnsi="宋体"/>
          <w:bCs/>
          <w:sz w:val="24"/>
        </w:rPr>
      </w:pPr>
      <w:r>
        <w:rPr>
          <w:rFonts w:hint="eastAsia" w:ascii="宋体" w:hAnsi="宋体"/>
          <w:bCs/>
          <w:sz w:val="24"/>
        </w:rPr>
        <w:t>投标人名称：</w:t>
      </w:r>
    </w:p>
    <w:p w14:paraId="0AF9ED03">
      <w:pPr>
        <w:snapToGrid w:val="0"/>
        <w:spacing w:beforeLines="50" w:after="50" w:line="400" w:lineRule="exact"/>
        <w:ind w:firstLine="360" w:firstLineChars="150"/>
        <w:rPr>
          <w:rFonts w:ascii="宋体" w:hAnsi="宋体"/>
          <w:bCs/>
          <w:sz w:val="24"/>
        </w:rPr>
      </w:pPr>
    </w:p>
    <w:p w14:paraId="039E9EFE">
      <w:pPr>
        <w:snapToGrid w:val="0"/>
        <w:spacing w:beforeLines="50" w:after="50" w:line="400" w:lineRule="exact"/>
        <w:ind w:firstLine="360" w:firstLineChars="150"/>
        <w:rPr>
          <w:rFonts w:ascii="宋体" w:hAnsi="宋体"/>
          <w:bCs/>
          <w:sz w:val="24"/>
        </w:rPr>
      </w:pPr>
      <w:r>
        <w:rPr>
          <w:rFonts w:hint="eastAsia" w:ascii="宋体" w:hAnsi="宋体"/>
          <w:bCs/>
          <w:sz w:val="24"/>
        </w:rPr>
        <w:t>投标人地址：</w:t>
      </w:r>
    </w:p>
    <w:p w14:paraId="37EA0000">
      <w:pPr>
        <w:pStyle w:val="2"/>
        <w:snapToGrid w:val="0"/>
        <w:spacing w:before="50" w:after="50" w:line="400" w:lineRule="exact"/>
        <w:ind w:firstLine="960" w:firstLineChars="400"/>
        <w:rPr>
          <w:rFonts w:ascii="宋体" w:hAnsi="宋体"/>
          <w:bCs/>
          <w:sz w:val="24"/>
          <w:szCs w:val="24"/>
        </w:rPr>
      </w:pPr>
    </w:p>
    <w:p w14:paraId="01517707">
      <w:pPr>
        <w:snapToGrid w:val="0"/>
        <w:spacing w:beforeLines="50" w:after="50" w:line="400" w:lineRule="exact"/>
        <w:rPr>
          <w:rFonts w:ascii="宋体" w:hAnsi="宋体"/>
          <w:sz w:val="30"/>
          <w:szCs w:val="20"/>
        </w:rPr>
      </w:pPr>
      <w:r>
        <w:rPr>
          <w:rFonts w:hint="eastAsia" w:ascii="宋体" w:hAnsi="宋体"/>
          <w:sz w:val="24"/>
        </w:rPr>
        <w:t xml:space="preserve">                                   年  月  日</w:t>
      </w:r>
    </w:p>
    <w:p w14:paraId="40897C47">
      <w:pPr>
        <w:snapToGrid w:val="0"/>
        <w:spacing w:beforeLines="50" w:after="50" w:line="360" w:lineRule="auto"/>
        <w:jc w:val="center"/>
        <w:rPr>
          <w:rFonts w:ascii="宋体" w:hAnsi="宋体"/>
          <w:sz w:val="24"/>
          <w:szCs w:val="20"/>
        </w:rPr>
      </w:pPr>
      <w:r>
        <w:rPr>
          <w:rFonts w:ascii="宋体" w:hAnsi="宋体"/>
          <w:b/>
          <w:sz w:val="24"/>
        </w:rPr>
        <w:br w:type="page"/>
      </w:r>
      <w:r>
        <w:rPr>
          <w:rFonts w:hint="eastAsia" w:ascii="宋体" w:hAnsi="宋体"/>
          <w:b/>
          <w:bCs/>
          <w:sz w:val="24"/>
        </w:rPr>
        <w:t>报价文件目录</w:t>
      </w:r>
    </w:p>
    <w:p w14:paraId="6D738FBE">
      <w:pPr>
        <w:snapToGrid w:val="0"/>
        <w:spacing w:before="50" w:afterLines="50" w:line="360" w:lineRule="auto"/>
        <w:jc w:val="center"/>
        <w:rPr>
          <w:rFonts w:ascii="宋体" w:hAnsi="宋体"/>
          <w:b/>
          <w:sz w:val="24"/>
        </w:rPr>
      </w:pPr>
      <w:r>
        <w:rPr>
          <w:rFonts w:hint="eastAsia" w:ascii="宋体" w:hAnsi="宋体"/>
          <w:szCs w:val="21"/>
        </w:rPr>
        <w:t>根据招标文件规定及投标人提供的材料自行编写目录。</w:t>
      </w:r>
    </w:p>
    <w:p w14:paraId="51148F89">
      <w:pPr>
        <w:snapToGrid w:val="0"/>
        <w:spacing w:beforeLines="50" w:after="50"/>
        <w:rPr>
          <w:rFonts w:ascii="宋体" w:hAnsi="宋体"/>
          <w:b/>
          <w:sz w:val="24"/>
        </w:rPr>
      </w:pPr>
    </w:p>
    <w:p w14:paraId="5AE5FD5F">
      <w:pPr>
        <w:snapToGrid w:val="0"/>
        <w:spacing w:beforeLines="50" w:after="50"/>
        <w:rPr>
          <w:rFonts w:ascii="宋体" w:hAnsi="宋体"/>
          <w:b/>
          <w:sz w:val="24"/>
        </w:rPr>
      </w:pPr>
    </w:p>
    <w:p w14:paraId="6BA1B584">
      <w:pPr>
        <w:snapToGrid w:val="0"/>
        <w:spacing w:beforeLines="50" w:after="50"/>
        <w:rPr>
          <w:rFonts w:ascii="宋体" w:hAnsi="宋体"/>
          <w:b/>
          <w:sz w:val="24"/>
        </w:rPr>
      </w:pPr>
    </w:p>
    <w:p w14:paraId="20D71C9E">
      <w:pPr>
        <w:snapToGrid w:val="0"/>
        <w:spacing w:beforeLines="50" w:after="50"/>
        <w:ind w:left="142"/>
        <w:jc w:val="left"/>
        <w:rPr>
          <w:rFonts w:ascii="宋体" w:hAnsi="宋体"/>
          <w:b/>
          <w:sz w:val="24"/>
        </w:rPr>
      </w:pPr>
      <w:r>
        <w:rPr>
          <w:rFonts w:ascii="宋体" w:hAnsi="宋体"/>
          <w:b/>
          <w:sz w:val="24"/>
        </w:rPr>
        <w:br w:type="page"/>
      </w:r>
      <w:r>
        <w:rPr>
          <w:rFonts w:hint="eastAsia" w:ascii="宋体" w:hAnsi="宋体"/>
          <w:b/>
          <w:sz w:val="24"/>
        </w:rPr>
        <w:t>1.投标函：</w:t>
      </w:r>
    </w:p>
    <w:p w14:paraId="7C7B3C71">
      <w:pPr>
        <w:snapToGrid w:val="0"/>
        <w:spacing w:beforeLines="50" w:after="50" w:line="320" w:lineRule="exact"/>
        <w:jc w:val="center"/>
        <w:rPr>
          <w:rFonts w:ascii="宋体" w:hAnsi="宋体"/>
          <w:b/>
          <w:sz w:val="32"/>
          <w:szCs w:val="32"/>
        </w:rPr>
      </w:pPr>
      <w:r>
        <w:rPr>
          <w:rFonts w:hint="eastAsia" w:ascii="宋体" w:hAnsi="宋体"/>
          <w:b/>
          <w:sz w:val="32"/>
          <w:szCs w:val="32"/>
        </w:rPr>
        <w:t>投 标 函</w:t>
      </w:r>
    </w:p>
    <w:p w14:paraId="47117091">
      <w:pPr>
        <w:snapToGrid w:val="0"/>
        <w:spacing w:beforeLines="50" w:after="50" w:line="320" w:lineRule="exact"/>
        <w:jc w:val="center"/>
        <w:rPr>
          <w:rFonts w:ascii="宋体" w:hAnsi="宋体"/>
          <w:b/>
          <w:szCs w:val="16"/>
        </w:rPr>
      </w:pPr>
    </w:p>
    <w:p w14:paraId="17B3CEB8">
      <w:pPr>
        <w:snapToGrid w:val="0"/>
        <w:spacing w:line="360" w:lineRule="auto"/>
        <w:rPr>
          <w:rFonts w:ascii="宋体" w:hAnsi="宋体"/>
          <w:szCs w:val="21"/>
        </w:rPr>
      </w:pPr>
      <w:r>
        <w:rPr>
          <w:rFonts w:hint="eastAsia" w:ascii="宋体" w:hAnsi="宋体"/>
          <w:szCs w:val="21"/>
        </w:rPr>
        <w:t>致：</w:t>
      </w:r>
      <w:r>
        <w:rPr>
          <w:rFonts w:hint="eastAsia" w:ascii="宋体" w:hAnsi="宋体"/>
          <w:szCs w:val="21"/>
          <w:u w:val="single"/>
        </w:rPr>
        <w:t>采购人名称</w:t>
      </w:r>
      <w:r>
        <w:rPr>
          <w:rFonts w:hint="eastAsia" w:ascii="宋体" w:hAnsi="宋体"/>
          <w:szCs w:val="21"/>
        </w:rPr>
        <w:t>：</w:t>
      </w:r>
    </w:p>
    <w:p w14:paraId="2E93F07B">
      <w:pPr>
        <w:snapToGrid w:val="0"/>
        <w:spacing w:line="360" w:lineRule="auto"/>
        <w:ind w:firstLine="480"/>
        <w:rPr>
          <w:rFonts w:ascii="宋体" w:hAnsi="宋体"/>
          <w:szCs w:val="21"/>
        </w:rPr>
      </w:pPr>
      <w:r>
        <w:rPr>
          <w:rFonts w:hint="eastAsia" w:ascii="宋体" w:hAnsi="宋体"/>
          <w:szCs w:val="21"/>
        </w:rPr>
        <w:t>根据贵方</w:t>
      </w:r>
      <w:r>
        <w:rPr>
          <w:rFonts w:hint="eastAsia" w:ascii="宋体" w:hAnsi="宋体"/>
          <w:szCs w:val="21"/>
          <w:u w:val="single"/>
        </w:rPr>
        <w:t xml:space="preserve">      项目名称    </w:t>
      </w:r>
      <w:r>
        <w:rPr>
          <w:rFonts w:hint="eastAsia" w:ascii="宋体" w:hAnsi="宋体"/>
          <w:szCs w:val="21"/>
        </w:rPr>
        <w:t>（项目编号：）的招标公告，签字代表</w:t>
      </w:r>
      <w:r>
        <w:rPr>
          <w:rFonts w:hint="eastAsia" w:ascii="宋体" w:hAnsi="宋体"/>
          <w:szCs w:val="21"/>
          <w:u w:val="single"/>
        </w:rPr>
        <w:t xml:space="preserve">   （姓名）   </w:t>
      </w:r>
      <w:r>
        <w:rPr>
          <w:rFonts w:hint="eastAsia" w:ascii="宋体" w:hAnsi="宋体"/>
          <w:szCs w:val="21"/>
        </w:rPr>
        <w:t>经正式授权并代表投标人</w:t>
      </w:r>
      <w:r>
        <w:rPr>
          <w:rFonts w:hint="eastAsia" w:ascii="宋体" w:hAnsi="宋体"/>
          <w:szCs w:val="21"/>
          <w:u w:val="single"/>
        </w:rPr>
        <w:t xml:space="preserve">      （投标人名称）   </w:t>
      </w:r>
      <w:r>
        <w:rPr>
          <w:rFonts w:hint="eastAsia" w:ascii="宋体" w:hAnsi="宋体"/>
          <w:szCs w:val="21"/>
        </w:rPr>
        <w:t>提交投标文件。</w:t>
      </w:r>
    </w:p>
    <w:p w14:paraId="5131B41C">
      <w:pPr>
        <w:snapToGrid w:val="0"/>
        <w:spacing w:line="360" w:lineRule="auto"/>
        <w:ind w:firstLine="420" w:firstLineChars="200"/>
        <w:rPr>
          <w:rFonts w:ascii="宋体" w:hAnsi="宋体"/>
          <w:szCs w:val="21"/>
        </w:rPr>
      </w:pPr>
      <w:r>
        <w:rPr>
          <w:rFonts w:hint="eastAsia" w:ascii="宋体" w:hAnsi="宋体"/>
          <w:szCs w:val="21"/>
        </w:rPr>
        <w:t>据此函，我方宣布同意如下：</w:t>
      </w:r>
    </w:p>
    <w:p w14:paraId="6055C7F6">
      <w:pPr>
        <w:snapToGrid w:val="0"/>
        <w:spacing w:line="360" w:lineRule="auto"/>
        <w:ind w:firstLine="420" w:firstLineChars="200"/>
        <w:rPr>
          <w:rFonts w:ascii="宋体" w:hAnsi="宋体"/>
          <w:szCs w:val="21"/>
        </w:rPr>
      </w:pPr>
      <w:r>
        <w:rPr>
          <w:rFonts w:hint="eastAsia" w:ascii="宋体" w:hAnsi="宋体"/>
          <w:szCs w:val="21"/>
        </w:rPr>
        <w:t>1.我方已详细审查全部“招标文件”，包括修改文件（如有的话）以及全部参考资料和有关附件，已经了解我方对于招标文件、采购过程、采购结果有依法进行询问、质疑、投诉的权利及相关渠道和要求。</w:t>
      </w:r>
    </w:p>
    <w:p w14:paraId="3EEC1C26">
      <w:pPr>
        <w:snapToGrid w:val="0"/>
        <w:spacing w:line="360" w:lineRule="auto"/>
        <w:ind w:firstLine="420" w:firstLineChars="200"/>
        <w:rPr>
          <w:rFonts w:ascii="宋体" w:hAnsi="宋体"/>
          <w:szCs w:val="21"/>
        </w:rPr>
      </w:pPr>
      <w:r>
        <w:rPr>
          <w:rFonts w:hint="eastAsia" w:ascii="宋体" w:hAnsi="宋体"/>
          <w:szCs w:val="21"/>
        </w:rPr>
        <w:t>2.我方在投标之前已经完全理解并接受招标文件的各项规定和要求，对招标文件的合理性、合法性不再有异议。</w:t>
      </w:r>
    </w:p>
    <w:p w14:paraId="688B46AC">
      <w:pPr>
        <w:snapToGrid w:val="0"/>
        <w:spacing w:line="360" w:lineRule="auto"/>
        <w:ind w:firstLine="420" w:firstLineChars="200"/>
        <w:rPr>
          <w:rFonts w:ascii="宋体" w:hAnsi="宋体"/>
          <w:szCs w:val="21"/>
        </w:rPr>
      </w:pPr>
      <w:r>
        <w:rPr>
          <w:rFonts w:hint="eastAsia" w:ascii="宋体" w:hAnsi="宋体"/>
          <w:szCs w:val="21"/>
        </w:rPr>
        <w:t>3.本投标有效期自投标截止之日起</w:t>
      </w:r>
      <w:r>
        <w:rPr>
          <w:rFonts w:hint="eastAsia" w:ascii="宋体" w:hAnsi="宋体"/>
          <w:szCs w:val="21"/>
          <w:u w:val="single"/>
        </w:rPr>
        <w:t>90</w:t>
      </w:r>
      <w:r>
        <w:rPr>
          <w:rFonts w:hint="eastAsia" w:ascii="宋体" w:hAnsi="宋体"/>
          <w:szCs w:val="21"/>
        </w:rPr>
        <w:t>日。</w:t>
      </w:r>
    </w:p>
    <w:p w14:paraId="746F6C0F">
      <w:pPr>
        <w:snapToGrid w:val="0"/>
        <w:spacing w:line="360" w:lineRule="auto"/>
        <w:ind w:firstLine="420" w:firstLineChars="200"/>
        <w:rPr>
          <w:rFonts w:ascii="宋体" w:hAnsi="宋体"/>
          <w:szCs w:val="21"/>
        </w:rPr>
      </w:pPr>
      <w:r>
        <w:rPr>
          <w:rFonts w:hint="eastAsia" w:ascii="宋体" w:hAnsi="宋体"/>
          <w:szCs w:val="21"/>
        </w:rPr>
        <w:t>4.如中标，本投标文件至本项目合同履行完毕止均保持有效，我方将按“招标文件”及政府采购法律、法规的规定履行合同责任和义务。</w:t>
      </w:r>
    </w:p>
    <w:p w14:paraId="3A38FBCE">
      <w:pPr>
        <w:snapToGrid w:val="0"/>
        <w:spacing w:line="360" w:lineRule="auto"/>
        <w:ind w:firstLine="420" w:firstLineChars="200"/>
        <w:rPr>
          <w:rFonts w:ascii="宋体" w:hAnsi="宋体"/>
          <w:szCs w:val="21"/>
        </w:rPr>
      </w:pPr>
      <w:r>
        <w:rPr>
          <w:rFonts w:hint="eastAsia" w:ascii="宋体" w:hAnsi="宋体"/>
          <w:szCs w:val="21"/>
        </w:rPr>
        <w:t>5.我方同意按照贵方要求提供与投标有关的一切数据或者资料。</w:t>
      </w:r>
    </w:p>
    <w:p w14:paraId="275852A8">
      <w:pPr>
        <w:snapToGrid w:val="0"/>
        <w:spacing w:line="360" w:lineRule="auto"/>
        <w:ind w:firstLine="420" w:firstLineChars="200"/>
        <w:rPr>
          <w:rFonts w:ascii="宋体" w:hAnsi="宋体"/>
          <w:szCs w:val="21"/>
        </w:rPr>
      </w:pPr>
      <w:r>
        <w:rPr>
          <w:rFonts w:hint="eastAsia" w:ascii="宋体" w:hAnsi="宋体"/>
          <w:szCs w:val="21"/>
        </w:rPr>
        <w:t>6.我方向贵方提交的所有投标文件、资料都是准确的和真实的。</w:t>
      </w:r>
    </w:p>
    <w:p w14:paraId="6CD0609C">
      <w:pPr>
        <w:snapToGrid w:val="0"/>
        <w:spacing w:line="360" w:lineRule="auto"/>
        <w:ind w:firstLine="420" w:firstLineChars="200"/>
        <w:rPr>
          <w:rFonts w:ascii="宋体" w:hAnsi="宋体"/>
          <w:szCs w:val="21"/>
        </w:rPr>
      </w:pPr>
      <w:r>
        <w:rPr>
          <w:rFonts w:hint="eastAsia" w:ascii="宋体" w:hAnsi="宋体"/>
          <w:szCs w:val="21"/>
        </w:rPr>
        <w:t>7.以上事项如有虚假或者隐瞒，我方愿意承担一切后果，并不再寻求任何旨在减轻或者免除法律责任的辩解。</w:t>
      </w:r>
    </w:p>
    <w:p w14:paraId="11A51D59">
      <w:pPr>
        <w:spacing w:line="360" w:lineRule="auto"/>
        <w:ind w:firstLine="420" w:firstLineChars="200"/>
        <w:rPr>
          <w:rFonts w:ascii="宋体" w:hAnsi="宋体"/>
          <w:szCs w:val="21"/>
        </w:rPr>
      </w:pPr>
      <w:r>
        <w:rPr>
          <w:rFonts w:hint="eastAsia" w:ascii="宋体" w:hAnsi="宋体"/>
          <w:szCs w:val="21"/>
        </w:rPr>
        <w:t>8.根据</w:t>
      </w:r>
      <w:r>
        <w:rPr>
          <w:rFonts w:ascii="宋体" w:hAnsi="宋体"/>
          <w:szCs w:val="21"/>
        </w:rPr>
        <w:t>《中华人民共和国政府采购法实施条例》第五十条要求对政府采购合同进行公告</w:t>
      </w:r>
      <w:r>
        <w:rPr>
          <w:rFonts w:hint="eastAsia" w:ascii="宋体" w:hAnsi="宋体"/>
          <w:szCs w:val="21"/>
        </w:rPr>
        <w:t>，</w:t>
      </w:r>
      <w:r>
        <w:rPr>
          <w:rFonts w:ascii="宋体" w:hAnsi="宋体"/>
          <w:szCs w:val="21"/>
        </w:rPr>
        <w:t>但政府采购合同中涉及国家秘密、商业秘密的内容除外。</w:t>
      </w:r>
      <w:r>
        <w:rPr>
          <w:rFonts w:hint="eastAsia" w:ascii="宋体" w:hAnsi="宋体"/>
          <w:szCs w:val="21"/>
        </w:rPr>
        <w:t>我方就对本次投标文件进行注明如下：（两项内容中必须选择一项）</w:t>
      </w:r>
    </w:p>
    <w:p w14:paraId="259036B5">
      <w:pPr>
        <w:spacing w:line="360" w:lineRule="auto"/>
        <w:ind w:firstLine="420" w:firstLineChars="200"/>
        <w:rPr>
          <w:rFonts w:ascii="宋体" w:hAnsi="宋体"/>
          <w:szCs w:val="21"/>
        </w:rPr>
      </w:pPr>
      <w:r>
        <w:rPr>
          <w:rFonts w:hint="eastAsia" w:ascii="宋体" w:hAnsi="宋体"/>
          <w:szCs w:val="21"/>
        </w:rPr>
        <w:t>□我方本次投标文件</w:t>
      </w:r>
      <w:r>
        <w:rPr>
          <w:rFonts w:ascii="宋体" w:hAnsi="宋体" w:cs="宋体"/>
          <w:kern w:val="0"/>
          <w:szCs w:val="21"/>
        </w:rPr>
        <w:t>内容中</w:t>
      </w:r>
      <w:r>
        <w:rPr>
          <w:rFonts w:hint="eastAsia" w:ascii="宋体" w:hAnsi="宋体"/>
          <w:szCs w:val="21"/>
        </w:rPr>
        <w:t>未</w:t>
      </w:r>
      <w:r>
        <w:rPr>
          <w:rFonts w:ascii="宋体" w:hAnsi="宋体" w:cs="宋体"/>
          <w:kern w:val="0"/>
          <w:szCs w:val="21"/>
        </w:rPr>
        <w:t>涉及商业秘密</w:t>
      </w:r>
      <w:r>
        <w:rPr>
          <w:rFonts w:hint="eastAsia" w:ascii="宋体" w:hAnsi="宋体" w:cs="宋体"/>
          <w:kern w:val="0"/>
          <w:szCs w:val="21"/>
        </w:rPr>
        <w:t>；</w:t>
      </w:r>
    </w:p>
    <w:p w14:paraId="0504F48C">
      <w:pPr>
        <w:snapToGrid w:val="0"/>
        <w:spacing w:line="360" w:lineRule="auto"/>
        <w:ind w:firstLine="420" w:firstLineChars="200"/>
        <w:rPr>
          <w:rFonts w:ascii="宋体" w:hAnsi="宋体"/>
          <w:szCs w:val="21"/>
        </w:rPr>
      </w:pPr>
      <w:r>
        <w:rPr>
          <w:rFonts w:hint="eastAsia" w:ascii="宋体" w:hAnsi="宋体"/>
          <w:szCs w:val="21"/>
        </w:rPr>
        <w:t>□我方本次投标文件</w:t>
      </w:r>
      <w:r>
        <w:rPr>
          <w:rFonts w:ascii="宋体" w:hAnsi="宋体" w:cs="宋体"/>
          <w:kern w:val="0"/>
          <w:szCs w:val="21"/>
        </w:rPr>
        <w:t>涉及商业秘密</w:t>
      </w:r>
      <w:r>
        <w:rPr>
          <w:rFonts w:hint="eastAsia" w:ascii="宋体" w:hAnsi="宋体" w:cs="宋体"/>
          <w:kern w:val="0"/>
          <w:szCs w:val="21"/>
        </w:rPr>
        <w:t>的</w:t>
      </w:r>
      <w:r>
        <w:rPr>
          <w:rFonts w:ascii="宋体" w:hAnsi="宋体" w:cs="宋体"/>
          <w:kern w:val="0"/>
          <w:szCs w:val="21"/>
        </w:rPr>
        <w:t>内容</w:t>
      </w:r>
      <w:r>
        <w:rPr>
          <w:rFonts w:hint="eastAsia" w:ascii="宋体" w:hAnsi="宋体" w:cs="宋体"/>
          <w:kern w:val="0"/>
          <w:szCs w:val="21"/>
        </w:rPr>
        <w:t>有：；</w:t>
      </w:r>
    </w:p>
    <w:p w14:paraId="4884EF3F">
      <w:pPr>
        <w:snapToGrid w:val="0"/>
        <w:spacing w:line="360" w:lineRule="auto"/>
        <w:ind w:firstLine="420" w:firstLineChars="200"/>
        <w:rPr>
          <w:rFonts w:ascii="宋体" w:hAnsi="宋体"/>
          <w:szCs w:val="21"/>
        </w:rPr>
      </w:pPr>
      <w:r>
        <w:rPr>
          <w:rFonts w:hint="eastAsia" w:ascii="宋体" w:hAnsi="宋体"/>
          <w:szCs w:val="21"/>
        </w:rPr>
        <w:t>9.与本投标有关的一切正式往来信函请寄：</w:t>
      </w:r>
    </w:p>
    <w:p w14:paraId="623544A6">
      <w:pPr>
        <w:snapToGrid w:val="0"/>
        <w:spacing w:line="360" w:lineRule="auto"/>
        <w:rPr>
          <w:rFonts w:ascii="宋体" w:hAnsi="宋体"/>
          <w:szCs w:val="21"/>
          <w:u w:val="single"/>
        </w:rPr>
      </w:pPr>
      <w:r>
        <w:rPr>
          <w:rFonts w:hint="eastAsia" w:ascii="宋体" w:hAnsi="宋体"/>
          <w:szCs w:val="21"/>
        </w:rPr>
        <w:t>地址：邮编：</w:t>
      </w:r>
    </w:p>
    <w:p w14:paraId="5E5B1D21">
      <w:pPr>
        <w:snapToGrid w:val="0"/>
        <w:spacing w:line="360" w:lineRule="auto"/>
        <w:rPr>
          <w:rFonts w:ascii="宋体" w:hAnsi="宋体"/>
          <w:szCs w:val="21"/>
        </w:rPr>
      </w:pPr>
      <w:r>
        <w:rPr>
          <w:rFonts w:hint="eastAsia" w:ascii="宋体" w:hAnsi="宋体"/>
          <w:szCs w:val="21"/>
        </w:rPr>
        <w:t>电话：传真：</w:t>
      </w:r>
    </w:p>
    <w:p w14:paraId="1CDF66AC">
      <w:pPr>
        <w:snapToGrid w:val="0"/>
        <w:spacing w:line="360" w:lineRule="auto"/>
        <w:rPr>
          <w:rFonts w:ascii="宋体" w:hAnsi="宋体"/>
          <w:szCs w:val="21"/>
        </w:rPr>
      </w:pPr>
      <w:r>
        <w:rPr>
          <w:rFonts w:hint="eastAsia" w:ascii="宋体" w:hAnsi="宋体"/>
          <w:szCs w:val="21"/>
        </w:rPr>
        <w:t>投标人名称:</w:t>
      </w:r>
    </w:p>
    <w:p w14:paraId="35AEDB79">
      <w:pPr>
        <w:snapToGrid w:val="0"/>
        <w:spacing w:line="360" w:lineRule="auto"/>
        <w:jc w:val="left"/>
        <w:rPr>
          <w:rFonts w:ascii="宋体" w:hAnsi="宋体"/>
          <w:szCs w:val="21"/>
        </w:rPr>
      </w:pPr>
      <w:r>
        <w:rPr>
          <w:rFonts w:hint="eastAsia" w:ascii="宋体" w:hAnsi="宋体"/>
          <w:szCs w:val="21"/>
        </w:rPr>
        <w:t>开户银行：银行账号：</w:t>
      </w:r>
    </w:p>
    <w:p w14:paraId="771DDE38">
      <w:pPr>
        <w:snapToGrid w:val="0"/>
        <w:spacing w:before="50" w:after="50" w:line="300" w:lineRule="auto"/>
        <w:ind w:left="-6" w:leftChars="-15" w:right="-817" w:rightChars="-389" w:hanging="25" w:hangingChars="12"/>
        <w:jc w:val="left"/>
        <w:rPr>
          <w:rFonts w:ascii="宋体" w:hAnsi="宋体"/>
          <w:b/>
          <w:bCs/>
          <w:szCs w:val="21"/>
        </w:rPr>
      </w:pPr>
    </w:p>
    <w:p w14:paraId="37D62CE4">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046A6CFD">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31715096">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日期：    年   月   日</w:t>
      </w:r>
    </w:p>
    <w:p w14:paraId="0AF24FF1">
      <w:pPr>
        <w:snapToGrid w:val="0"/>
        <w:spacing w:beforeLines="50" w:after="50"/>
        <w:jc w:val="left"/>
        <w:rPr>
          <w:rFonts w:ascii="宋体" w:hAnsi="宋体"/>
          <w:b/>
          <w:sz w:val="24"/>
          <w:szCs w:val="20"/>
        </w:rPr>
      </w:pPr>
      <w:r>
        <w:rPr>
          <w:rFonts w:hAnsi="宋体"/>
          <w:u w:val="single"/>
        </w:rPr>
        <w:br w:type="page"/>
      </w:r>
      <w:r>
        <w:rPr>
          <w:rFonts w:hint="eastAsia" w:ascii="宋体" w:hAnsi="宋体"/>
          <w:b/>
          <w:sz w:val="24"/>
        </w:rPr>
        <w:t>2.开标一览表（货物类格式）</w:t>
      </w:r>
    </w:p>
    <w:p w14:paraId="77852293">
      <w:pPr>
        <w:snapToGrid w:val="0"/>
        <w:spacing w:before="50" w:after="50"/>
        <w:jc w:val="center"/>
        <w:rPr>
          <w:rFonts w:ascii="宋体" w:hAnsi="宋体"/>
          <w:b/>
          <w:sz w:val="30"/>
        </w:rPr>
      </w:pPr>
      <w:r>
        <w:rPr>
          <w:rFonts w:hint="eastAsia" w:ascii="宋体" w:hAnsi="宋体"/>
          <w:b/>
          <w:sz w:val="30"/>
        </w:rPr>
        <w:t>开标一览表</w:t>
      </w:r>
    </w:p>
    <w:p w14:paraId="0210A3C8">
      <w:pPr>
        <w:snapToGrid w:val="0"/>
        <w:spacing w:before="50" w:after="50"/>
        <w:jc w:val="center"/>
        <w:rPr>
          <w:rFonts w:ascii="宋体" w:hAnsi="宋体"/>
          <w:b/>
          <w:sz w:val="30"/>
          <w:szCs w:val="20"/>
        </w:rPr>
      </w:pPr>
    </w:p>
    <w:p w14:paraId="107C024E">
      <w:pPr>
        <w:snapToGrid w:val="0"/>
        <w:spacing w:before="50" w:after="50" w:line="360" w:lineRule="auto"/>
        <w:rPr>
          <w:rFonts w:ascii="宋体" w:hAnsi="宋体"/>
          <w:szCs w:val="21"/>
          <w:u w:val="single"/>
        </w:rPr>
      </w:pPr>
      <w:r>
        <w:rPr>
          <w:rFonts w:hint="eastAsia" w:ascii="宋体" w:hAnsi="宋体"/>
          <w:szCs w:val="21"/>
        </w:rPr>
        <w:t>项目名称：项目编号：         分标：</w:t>
      </w:r>
    </w:p>
    <w:p w14:paraId="40C7E03B">
      <w:pPr>
        <w:snapToGrid w:val="0"/>
        <w:spacing w:before="50" w:after="50" w:line="360" w:lineRule="auto"/>
        <w:rPr>
          <w:rFonts w:ascii="宋体" w:hAnsi="宋体"/>
          <w:szCs w:val="21"/>
        </w:rPr>
      </w:pPr>
      <w:r>
        <w:rPr>
          <w:rFonts w:hint="eastAsia" w:ascii="宋体" w:hAnsi="宋体"/>
          <w:szCs w:val="21"/>
        </w:rPr>
        <w:t>投标人名称：                       单位：元</w:t>
      </w:r>
    </w:p>
    <w:tbl>
      <w:tblPr>
        <w:tblStyle w:val="32"/>
        <w:tblW w:w="5051" w:type="pct"/>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92"/>
        <w:gridCol w:w="1025"/>
        <w:gridCol w:w="608"/>
        <w:gridCol w:w="897"/>
        <w:gridCol w:w="907"/>
        <w:gridCol w:w="907"/>
        <w:gridCol w:w="907"/>
        <w:gridCol w:w="1126"/>
        <w:gridCol w:w="1548"/>
        <w:gridCol w:w="897"/>
      </w:tblGrid>
      <w:tr w14:paraId="0AEB3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9" w:hRule="atLeast"/>
        </w:trPr>
        <w:tc>
          <w:tcPr>
            <w:tcW w:w="360" w:type="pct"/>
          </w:tcPr>
          <w:p w14:paraId="7CEBD163">
            <w:pPr>
              <w:spacing w:line="476" w:lineRule="auto"/>
              <w:rPr>
                <w:rFonts w:ascii="Arial" w:hAnsi="Calibri" w:eastAsia="Times New Roman"/>
                <w:lang w:eastAsia="en-US"/>
              </w:rPr>
            </w:pPr>
          </w:p>
          <w:p w14:paraId="41B1EC1E">
            <w:pPr>
              <w:pStyle w:val="33"/>
              <w:spacing w:before="78" w:line="221" w:lineRule="auto"/>
              <w:ind w:left="116"/>
              <w:rPr>
                <w:rFonts w:eastAsia="Times New Roman"/>
                <w:sz w:val="24"/>
                <w:szCs w:val="24"/>
              </w:rPr>
            </w:pPr>
            <w:r>
              <w:rPr>
                <w:rFonts w:eastAsia="Times New Roman"/>
                <w:b/>
                <w:bCs/>
                <w:spacing w:val="-7"/>
                <w:sz w:val="24"/>
                <w:szCs w:val="24"/>
              </w:rPr>
              <w:t>序号</w:t>
            </w:r>
          </w:p>
        </w:tc>
        <w:tc>
          <w:tcPr>
            <w:tcW w:w="533" w:type="pct"/>
          </w:tcPr>
          <w:p w14:paraId="00D8AC80">
            <w:pPr>
              <w:spacing w:line="246" w:lineRule="auto"/>
              <w:rPr>
                <w:rFonts w:ascii="Arial" w:hAnsi="Calibri" w:eastAsia="Times New Roman"/>
                <w:lang w:eastAsia="en-US"/>
              </w:rPr>
            </w:pPr>
          </w:p>
          <w:p w14:paraId="02681F8E">
            <w:pPr>
              <w:pStyle w:val="33"/>
              <w:spacing w:before="78" w:line="221" w:lineRule="auto"/>
              <w:ind w:left="116"/>
              <w:rPr>
                <w:rFonts w:eastAsia="Times New Roman"/>
                <w:sz w:val="24"/>
                <w:szCs w:val="24"/>
              </w:rPr>
            </w:pPr>
            <w:r>
              <w:rPr>
                <w:rFonts w:hint="eastAsia" w:eastAsia="Times New Roman"/>
                <w:b/>
                <w:bCs/>
                <w:spacing w:val="-7"/>
                <w:sz w:val="24"/>
                <w:szCs w:val="24"/>
              </w:rPr>
              <w:t>货物/服务名称</w:t>
            </w:r>
          </w:p>
        </w:tc>
        <w:tc>
          <w:tcPr>
            <w:tcW w:w="316" w:type="pct"/>
            <w:textDirection w:val="tbRlV"/>
          </w:tcPr>
          <w:p w14:paraId="7FEEE56E">
            <w:pPr>
              <w:pStyle w:val="33"/>
              <w:spacing w:before="186" w:line="207" w:lineRule="auto"/>
              <w:ind w:left="324"/>
              <w:rPr>
                <w:rFonts w:eastAsia="Times New Roman"/>
                <w:sz w:val="24"/>
                <w:szCs w:val="24"/>
              </w:rPr>
            </w:pPr>
            <w:r>
              <w:rPr>
                <w:rFonts w:eastAsia="Times New Roman"/>
                <w:b/>
                <w:bCs/>
                <w:spacing w:val="-3"/>
                <w:sz w:val="24"/>
                <w:szCs w:val="24"/>
              </w:rPr>
              <w:t>品牌</w:t>
            </w:r>
          </w:p>
        </w:tc>
        <w:tc>
          <w:tcPr>
            <w:tcW w:w="466" w:type="pct"/>
          </w:tcPr>
          <w:p w14:paraId="3DFC2CE7">
            <w:pPr>
              <w:spacing w:line="245" w:lineRule="auto"/>
              <w:rPr>
                <w:rFonts w:ascii="Arial" w:hAnsi="Calibri" w:eastAsia="Times New Roman"/>
                <w:lang w:eastAsia="en-US"/>
              </w:rPr>
            </w:pPr>
          </w:p>
          <w:p w14:paraId="26DF9145">
            <w:pPr>
              <w:pStyle w:val="33"/>
              <w:spacing w:before="78" w:line="361" w:lineRule="auto"/>
              <w:ind w:left="226" w:right="116" w:hanging="112"/>
              <w:rPr>
                <w:rFonts w:eastAsia="Times New Roman"/>
                <w:sz w:val="24"/>
                <w:szCs w:val="24"/>
              </w:rPr>
            </w:pPr>
            <w:r>
              <w:rPr>
                <w:rFonts w:eastAsia="Times New Roman"/>
                <w:b/>
                <w:bCs/>
                <w:spacing w:val="-19"/>
                <w:sz w:val="24"/>
                <w:szCs w:val="24"/>
              </w:rPr>
              <w:t>规格、</w:t>
            </w:r>
            <w:r>
              <w:rPr>
                <w:rFonts w:eastAsia="Times New Roman"/>
                <w:b/>
                <w:bCs/>
                <w:spacing w:val="-11"/>
                <w:sz w:val="24"/>
                <w:szCs w:val="24"/>
              </w:rPr>
              <w:t>型号</w:t>
            </w:r>
          </w:p>
        </w:tc>
        <w:tc>
          <w:tcPr>
            <w:tcW w:w="471" w:type="pct"/>
          </w:tcPr>
          <w:p w14:paraId="66989756">
            <w:pPr>
              <w:spacing w:line="244" w:lineRule="auto"/>
              <w:rPr>
                <w:rFonts w:ascii="Arial" w:hAnsi="Calibri" w:eastAsia="Times New Roman"/>
                <w:lang w:eastAsia="en-US"/>
              </w:rPr>
            </w:pPr>
          </w:p>
          <w:p w14:paraId="7D14DC7A">
            <w:pPr>
              <w:pStyle w:val="33"/>
              <w:spacing w:before="78" w:line="361" w:lineRule="auto"/>
              <w:ind w:left="346" w:right="219" w:hanging="123"/>
              <w:rPr>
                <w:rFonts w:eastAsia="Times New Roman"/>
                <w:sz w:val="24"/>
                <w:szCs w:val="24"/>
              </w:rPr>
            </w:pPr>
            <w:r>
              <w:rPr>
                <w:rFonts w:eastAsia="Times New Roman"/>
                <w:b/>
                <w:bCs/>
                <w:spacing w:val="-8"/>
                <w:sz w:val="24"/>
                <w:szCs w:val="24"/>
              </w:rPr>
              <w:t>制造</w:t>
            </w:r>
            <w:r>
              <w:rPr>
                <w:rFonts w:eastAsia="Times New Roman"/>
                <w:b/>
                <w:bCs/>
                <w:spacing w:val="-3"/>
                <w:sz w:val="24"/>
                <w:szCs w:val="24"/>
              </w:rPr>
              <w:t>商</w:t>
            </w:r>
          </w:p>
        </w:tc>
        <w:tc>
          <w:tcPr>
            <w:tcW w:w="471" w:type="pct"/>
          </w:tcPr>
          <w:p w14:paraId="1CC3019C">
            <w:pPr>
              <w:spacing w:line="245" w:lineRule="auto"/>
              <w:rPr>
                <w:rFonts w:ascii="Arial" w:hAnsi="Calibri" w:eastAsia="Times New Roman"/>
                <w:lang w:eastAsia="en-US"/>
              </w:rPr>
            </w:pPr>
          </w:p>
          <w:p w14:paraId="4AA07B92">
            <w:pPr>
              <w:pStyle w:val="33"/>
              <w:spacing w:before="78" w:line="365" w:lineRule="auto"/>
              <w:ind w:left="343" w:right="217" w:hanging="114"/>
              <w:rPr>
                <w:rFonts w:eastAsia="Times New Roman"/>
                <w:sz w:val="24"/>
                <w:szCs w:val="24"/>
              </w:rPr>
            </w:pPr>
            <w:r>
              <w:rPr>
                <w:rFonts w:eastAsia="Times New Roman"/>
                <w:b/>
                <w:bCs/>
                <w:spacing w:val="-11"/>
                <w:sz w:val="24"/>
                <w:szCs w:val="24"/>
              </w:rPr>
              <w:t>原产</w:t>
            </w:r>
            <w:r>
              <w:rPr>
                <w:rFonts w:eastAsia="Times New Roman"/>
                <w:b/>
                <w:bCs/>
                <w:spacing w:val="-3"/>
                <w:sz w:val="24"/>
                <w:szCs w:val="24"/>
              </w:rPr>
              <w:t>地</w:t>
            </w:r>
          </w:p>
        </w:tc>
        <w:tc>
          <w:tcPr>
            <w:tcW w:w="471" w:type="pct"/>
          </w:tcPr>
          <w:p w14:paraId="42509C25">
            <w:pPr>
              <w:pStyle w:val="33"/>
              <w:spacing w:before="90" w:line="219" w:lineRule="auto"/>
              <w:ind w:left="225"/>
              <w:rPr>
                <w:rFonts w:eastAsia="Times New Roman"/>
                <w:sz w:val="24"/>
                <w:szCs w:val="24"/>
              </w:rPr>
            </w:pPr>
            <w:r>
              <w:rPr>
                <w:rFonts w:eastAsia="Times New Roman"/>
                <w:b/>
                <w:bCs/>
                <w:spacing w:val="-9"/>
                <w:sz w:val="24"/>
                <w:szCs w:val="24"/>
              </w:rPr>
              <w:t>数量</w:t>
            </w:r>
          </w:p>
          <w:p w14:paraId="6B0CBD6A">
            <w:pPr>
              <w:pStyle w:val="33"/>
              <w:spacing w:before="182" w:line="220" w:lineRule="auto"/>
              <w:ind w:left="222"/>
              <w:rPr>
                <w:rFonts w:eastAsia="Times New Roman"/>
                <w:sz w:val="24"/>
                <w:szCs w:val="24"/>
              </w:rPr>
            </w:pPr>
            <w:r>
              <w:rPr>
                <w:rFonts w:eastAsia="Times New Roman"/>
                <w:b/>
                <w:bCs/>
                <w:spacing w:val="-7"/>
                <w:sz w:val="24"/>
                <w:szCs w:val="24"/>
              </w:rPr>
              <w:t>及单</w:t>
            </w:r>
          </w:p>
          <w:p w14:paraId="43B65CAF">
            <w:pPr>
              <w:pStyle w:val="33"/>
              <w:spacing w:before="179" w:line="217" w:lineRule="auto"/>
              <w:ind w:left="223"/>
              <w:rPr>
                <w:rFonts w:eastAsia="Times New Roman"/>
                <w:sz w:val="24"/>
                <w:szCs w:val="24"/>
              </w:rPr>
            </w:pPr>
            <w:r>
              <w:rPr>
                <w:rFonts w:eastAsia="Times New Roman"/>
                <w:b/>
                <w:bCs/>
                <w:spacing w:val="-8"/>
                <w:sz w:val="24"/>
                <w:szCs w:val="24"/>
              </w:rPr>
              <w:t>位①</w:t>
            </w:r>
          </w:p>
        </w:tc>
        <w:tc>
          <w:tcPr>
            <w:tcW w:w="585" w:type="pct"/>
          </w:tcPr>
          <w:p w14:paraId="52FF28E8">
            <w:pPr>
              <w:pStyle w:val="33"/>
              <w:spacing w:before="298" w:line="398" w:lineRule="auto"/>
              <w:ind w:left="455" w:right="328" w:hanging="118"/>
              <w:rPr>
                <w:rFonts w:eastAsia="Times New Roman"/>
                <w:sz w:val="24"/>
                <w:szCs w:val="24"/>
              </w:rPr>
            </w:pPr>
            <w:r>
              <w:rPr>
                <w:rFonts w:eastAsia="Times New Roman"/>
                <w:b/>
                <w:bCs/>
                <w:spacing w:val="-9"/>
                <w:sz w:val="24"/>
                <w:szCs w:val="24"/>
              </w:rPr>
              <w:t>单价</w:t>
            </w:r>
            <w:r>
              <w:rPr>
                <w:rFonts w:eastAsia="Times New Roman"/>
                <w:b/>
                <w:bCs/>
                <w:spacing w:val="-3"/>
                <w:sz w:val="24"/>
                <w:szCs w:val="24"/>
              </w:rPr>
              <w:t>②</w:t>
            </w:r>
          </w:p>
        </w:tc>
        <w:tc>
          <w:tcPr>
            <w:tcW w:w="804" w:type="pct"/>
          </w:tcPr>
          <w:p w14:paraId="47360DF5">
            <w:pPr>
              <w:pStyle w:val="33"/>
              <w:spacing w:before="298" w:line="218" w:lineRule="auto"/>
              <w:ind w:left="312"/>
              <w:rPr>
                <w:rFonts w:eastAsia="Times New Roman"/>
                <w:sz w:val="24"/>
                <w:szCs w:val="24"/>
              </w:rPr>
            </w:pPr>
            <w:r>
              <w:rPr>
                <w:rFonts w:eastAsia="Times New Roman"/>
                <w:b/>
                <w:bCs/>
                <w:spacing w:val="-5"/>
                <w:sz w:val="24"/>
                <w:szCs w:val="24"/>
              </w:rPr>
              <w:t>投标报价</w:t>
            </w:r>
          </w:p>
          <w:p w14:paraId="48E718EC">
            <w:pPr>
              <w:pStyle w:val="33"/>
              <w:spacing w:before="232" w:line="217" w:lineRule="auto"/>
              <w:ind w:left="247"/>
              <w:rPr>
                <w:rFonts w:eastAsia="Times New Roman"/>
                <w:sz w:val="24"/>
                <w:szCs w:val="24"/>
              </w:rPr>
            </w:pPr>
            <w:r>
              <w:rPr>
                <w:rFonts w:eastAsia="Times New Roman"/>
                <w:b/>
                <w:bCs/>
                <w:spacing w:val="-4"/>
                <w:sz w:val="24"/>
                <w:szCs w:val="24"/>
              </w:rPr>
              <w:t>③=①×②</w:t>
            </w:r>
          </w:p>
        </w:tc>
        <w:tc>
          <w:tcPr>
            <w:tcW w:w="459" w:type="pct"/>
          </w:tcPr>
          <w:p w14:paraId="3529E8E0">
            <w:pPr>
              <w:spacing w:line="476" w:lineRule="auto"/>
              <w:rPr>
                <w:rFonts w:ascii="Arial" w:hAnsi="Calibri" w:eastAsia="Times New Roman"/>
                <w:lang w:eastAsia="en-US"/>
              </w:rPr>
            </w:pPr>
          </w:p>
          <w:p w14:paraId="50046A38">
            <w:pPr>
              <w:pStyle w:val="33"/>
              <w:spacing w:before="78" w:line="221" w:lineRule="auto"/>
              <w:ind w:left="214"/>
              <w:rPr>
                <w:rFonts w:eastAsia="Times New Roman"/>
                <w:sz w:val="24"/>
                <w:szCs w:val="24"/>
              </w:rPr>
            </w:pPr>
            <w:r>
              <w:rPr>
                <w:rFonts w:eastAsia="Times New Roman"/>
                <w:b/>
                <w:bCs/>
                <w:spacing w:val="-9"/>
                <w:sz w:val="24"/>
                <w:szCs w:val="24"/>
              </w:rPr>
              <w:t>备注</w:t>
            </w:r>
          </w:p>
        </w:tc>
      </w:tr>
      <w:tr w14:paraId="1416A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60" w:type="pct"/>
          </w:tcPr>
          <w:p w14:paraId="2EB6EFA3">
            <w:pPr>
              <w:pStyle w:val="33"/>
              <w:spacing w:before="87" w:line="241" w:lineRule="auto"/>
              <w:ind w:left="315"/>
              <w:rPr>
                <w:rFonts w:eastAsia="Times New Roman"/>
                <w:sz w:val="24"/>
                <w:szCs w:val="24"/>
              </w:rPr>
            </w:pPr>
            <w:r>
              <w:rPr>
                <w:rFonts w:eastAsia="Times New Roman"/>
                <w:b/>
                <w:bCs/>
                <w:spacing w:val="-3"/>
                <w:sz w:val="24"/>
                <w:szCs w:val="24"/>
              </w:rPr>
              <w:t>1</w:t>
            </w:r>
          </w:p>
        </w:tc>
        <w:tc>
          <w:tcPr>
            <w:tcW w:w="533" w:type="pct"/>
          </w:tcPr>
          <w:p w14:paraId="380AD0B1">
            <w:pPr>
              <w:rPr>
                <w:rFonts w:ascii="Arial" w:hAnsi="Calibri" w:eastAsia="Times New Roman"/>
                <w:lang w:eastAsia="en-US"/>
              </w:rPr>
            </w:pPr>
          </w:p>
        </w:tc>
        <w:tc>
          <w:tcPr>
            <w:tcW w:w="316" w:type="pct"/>
          </w:tcPr>
          <w:p w14:paraId="6FDF3C90">
            <w:pPr>
              <w:rPr>
                <w:rFonts w:ascii="Arial" w:hAnsi="Calibri" w:eastAsia="Times New Roman"/>
                <w:lang w:eastAsia="en-US"/>
              </w:rPr>
            </w:pPr>
          </w:p>
        </w:tc>
        <w:tc>
          <w:tcPr>
            <w:tcW w:w="466" w:type="pct"/>
          </w:tcPr>
          <w:p w14:paraId="6400BDEC">
            <w:pPr>
              <w:rPr>
                <w:rFonts w:ascii="Arial" w:hAnsi="Calibri" w:eastAsia="Times New Roman"/>
                <w:lang w:eastAsia="en-US"/>
              </w:rPr>
            </w:pPr>
          </w:p>
        </w:tc>
        <w:tc>
          <w:tcPr>
            <w:tcW w:w="471" w:type="pct"/>
          </w:tcPr>
          <w:p w14:paraId="27CF9E3C">
            <w:pPr>
              <w:rPr>
                <w:rFonts w:ascii="Arial" w:hAnsi="Calibri" w:eastAsia="Times New Roman"/>
                <w:lang w:eastAsia="en-US"/>
              </w:rPr>
            </w:pPr>
          </w:p>
        </w:tc>
        <w:tc>
          <w:tcPr>
            <w:tcW w:w="471" w:type="pct"/>
          </w:tcPr>
          <w:p w14:paraId="39DA9C55">
            <w:pPr>
              <w:rPr>
                <w:rFonts w:ascii="Arial" w:hAnsi="Calibri" w:eastAsia="Times New Roman"/>
                <w:lang w:eastAsia="en-US"/>
              </w:rPr>
            </w:pPr>
          </w:p>
        </w:tc>
        <w:tc>
          <w:tcPr>
            <w:tcW w:w="471" w:type="pct"/>
          </w:tcPr>
          <w:p w14:paraId="39A9D881">
            <w:pPr>
              <w:rPr>
                <w:rFonts w:ascii="Arial" w:hAnsi="Calibri" w:eastAsia="Times New Roman"/>
                <w:lang w:eastAsia="en-US"/>
              </w:rPr>
            </w:pPr>
          </w:p>
        </w:tc>
        <w:tc>
          <w:tcPr>
            <w:tcW w:w="585" w:type="pct"/>
          </w:tcPr>
          <w:p w14:paraId="01E59EB1">
            <w:pPr>
              <w:rPr>
                <w:rFonts w:ascii="Arial" w:hAnsi="Calibri" w:eastAsia="Times New Roman"/>
                <w:lang w:eastAsia="en-US"/>
              </w:rPr>
            </w:pPr>
          </w:p>
        </w:tc>
        <w:tc>
          <w:tcPr>
            <w:tcW w:w="804" w:type="pct"/>
          </w:tcPr>
          <w:p w14:paraId="720A7311">
            <w:pPr>
              <w:rPr>
                <w:rFonts w:ascii="Arial" w:hAnsi="Calibri" w:eastAsia="Times New Roman"/>
                <w:lang w:eastAsia="en-US"/>
              </w:rPr>
            </w:pPr>
          </w:p>
        </w:tc>
        <w:tc>
          <w:tcPr>
            <w:tcW w:w="459" w:type="pct"/>
          </w:tcPr>
          <w:p w14:paraId="4537D4C2">
            <w:pPr>
              <w:rPr>
                <w:rFonts w:ascii="Arial" w:hAnsi="Calibri" w:eastAsia="Times New Roman"/>
                <w:lang w:eastAsia="en-US"/>
              </w:rPr>
            </w:pPr>
          </w:p>
        </w:tc>
      </w:tr>
      <w:tr w14:paraId="4C0D1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360" w:type="pct"/>
          </w:tcPr>
          <w:p w14:paraId="34233170">
            <w:pPr>
              <w:pStyle w:val="33"/>
              <w:spacing w:before="87" w:line="241" w:lineRule="auto"/>
              <w:ind w:left="300"/>
              <w:rPr>
                <w:rFonts w:eastAsia="Times New Roman"/>
                <w:sz w:val="24"/>
                <w:szCs w:val="24"/>
              </w:rPr>
            </w:pPr>
            <w:r>
              <w:rPr>
                <w:rFonts w:eastAsia="Times New Roman"/>
                <w:b/>
                <w:bCs/>
                <w:spacing w:val="-3"/>
                <w:sz w:val="24"/>
                <w:szCs w:val="24"/>
              </w:rPr>
              <w:t>2</w:t>
            </w:r>
          </w:p>
        </w:tc>
        <w:tc>
          <w:tcPr>
            <w:tcW w:w="533" w:type="pct"/>
          </w:tcPr>
          <w:p w14:paraId="155649F6">
            <w:pPr>
              <w:rPr>
                <w:rFonts w:ascii="Arial" w:hAnsi="Calibri" w:eastAsia="Times New Roman"/>
                <w:lang w:eastAsia="en-US"/>
              </w:rPr>
            </w:pPr>
          </w:p>
        </w:tc>
        <w:tc>
          <w:tcPr>
            <w:tcW w:w="316" w:type="pct"/>
          </w:tcPr>
          <w:p w14:paraId="21B13897">
            <w:pPr>
              <w:rPr>
                <w:rFonts w:ascii="Arial" w:hAnsi="Calibri" w:eastAsia="Times New Roman"/>
                <w:lang w:eastAsia="en-US"/>
              </w:rPr>
            </w:pPr>
          </w:p>
        </w:tc>
        <w:tc>
          <w:tcPr>
            <w:tcW w:w="466" w:type="pct"/>
          </w:tcPr>
          <w:p w14:paraId="6BCDA84E">
            <w:pPr>
              <w:rPr>
                <w:rFonts w:ascii="Arial" w:hAnsi="Calibri" w:eastAsia="Times New Roman"/>
                <w:lang w:eastAsia="en-US"/>
              </w:rPr>
            </w:pPr>
          </w:p>
        </w:tc>
        <w:tc>
          <w:tcPr>
            <w:tcW w:w="471" w:type="pct"/>
          </w:tcPr>
          <w:p w14:paraId="4435AFE1">
            <w:pPr>
              <w:rPr>
                <w:rFonts w:ascii="Arial" w:hAnsi="Calibri" w:eastAsia="Times New Roman"/>
                <w:lang w:eastAsia="en-US"/>
              </w:rPr>
            </w:pPr>
          </w:p>
        </w:tc>
        <w:tc>
          <w:tcPr>
            <w:tcW w:w="471" w:type="pct"/>
          </w:tcPr>
          <w:p w14:paraId="260F4217">
            <w:pPr>
              <w:rPr>
                <w:rFonts w:ascii="Arial" w:hAnsi="Calibri" w:eastAsia="Times New Roman"/>
                <w:lang w:eastAsia="en-US"/>
              </w:rPr>
            </w:pPr>
          </w:p>
        </w:tc>
        <w:tc>
          <w:tcPr>
            <w:tcW w:w="471" w:type="pct"/>
          </w:tcPr>
          <w:p w14:paraId="2D6FBF8E">
            <w:pPr>
              <w:rPr>
                <w:rFonts w:ascii="Arial" w:hAnsi="Calibri" w:eastAsia="Times New Roman"/>
                <w:lang w:eastAsia="en-US"/>
              </w:rPr>
            </w:pPr>
          </w:p>
        </w:tc>
        <w:tc>
          <w:tcPr>
            <w:tcW w:w="585" w:type="pct"/>
          </w:tcPr>
          <w:p w14:paraId="64344D41">
            <w:pPr>
              <w:rPr>
                <w:rFonts w:ascii="Arial" w:hAnsi="Calibri" w:eastAsia="Times New Roman"/>
                <w:lang w:eastAsia="en-US"/>
              </w:rPr>
            </w:pPr>
          </w:p>
        </w:tc>
        <w:tc>
          <w:tcPr>
            <w:tcW w:w="804" w:type="pct"/>
          </w:tcPr>
          <w:p w14:paraId="5935A83C">
            <w:pPr>
              <w:rPr>
                <w:rFonts w:ascii="Arial" w:hAnsi="Calibri" w:eastAsia="Times New Roman"/>
                <w:lang w:eastAsia="en-US"/>
              </w:rPr>
            </w:pPr>
          </w:p>
        </w:tc>
        <w:tc>
          <w:tcPr>
            <w:tcW w:w="459" w:type="pct"/>
          </w:tcPr>
          <w:p w14:paraId="5B4FAC69">
            <w:pPr>
              <w:rPr>
                <w:rFonts w:ascii="Arial" w:hAnsi="Calibri" w:eastAsia="Times New Roman"/>
                <w:lang w:eastAsia="en-US"/>
              </w:rPr>
            </w:pPr>
          </w:p>
        </w:tc>
      </w:tr>
      <w:tr w14:paraId="4CB3E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360" w:type="pct"/>
          </w:tcPr>
          <w:p w14:paraId="67D25E5D">
            <w:pPr>
              <w:pStyle w:val="33"/>
              <w:spacing w:before="87" w:line="378" w:lineRule="exact"/>
              <w:ind w:left="132"/>
              <w:rPr>
                <w:rFonts w:eastAsia="Times New Roman"/>
                <w:sz w:val="24"/>
                <w:szCs w:val="24"/>
              </w:rPr>
            </w:pPr>
            <w:r>
              <w:rPr>
                <w:rFonts w:eastAsia="Times New Roman"/>
                <w:b/>
                <w:bCs/>
                <w:spacing w:val="-15"/>
                <w:position w:val="3"/>
                <w:sz w:val="24"/>
                <w:szCs w:val="24"/>
              </w:rPr>
              <w:t>……</w:t>
            </w:r>
          </w:p>
        </w:tc>
        <w:tc>
          <w:tcPr>
            <w:tcW w:w="533" w:type="pct"/>
          </w:tcPr>
          <w:p w14:paraId="0B4BA718">
            <w:pPr>
              <w:pStyle w:val="33"/>
              <w:spacing w:before="87" w:line="378" w:lineRule="exact"/>
              <w:ind w:left="299"/>
              <w:rPr>
                <w:rFonts w:eastAsia="Times New Roman"/>
                <w:sz w:val="24"/>
                <w:szCs w:val="24"/>
              </w:rPr>
            </w:pPr>
            <w:r>
              <w:rPr>
                <w:rFonts w:eastAsia="Times New Roman"/>
                <w:b/>
                <w:bCs/>
                <w:spacing w:val="-15"/>
                <w:position w:val="3"/>
                <w:sz w:val="24"/>
                <w:szCs w:val="24"/>
              </w:rPr>
              <w:t>……</w:t>
            </w:r>
          </w:p>
        </w:tc>
        <w:tc>
          <w:tcPr>
            <w:tcW w:w="316" w:type="pct"/>
          </w:tcPr>
          <w:p w14:paraId="5E964303">
            <w:pPr>
              <w:rPr>
                <w:rFonts w:ascii="Arial" w:hAnsi="Calibri" w:eastAsia="Times New Roman"/>
                <w:lang w:eastAsia="en-US"/>
              </w:rPr>
            </w:pPr>
          </w:p>
        </w:tc>
        <w:tc>
          <w:tcPr>
            <w:tcW w:w="466" w:type="pct"/>
          </w:tcPr>
          <w:p w14:paraId="70B7E952">
            <w:pPr>
              <w:rPr>
                <w:rFonts w:ascii="Arial" w:hAnsi="Calibri" w:eastAsia="Times New Roman"/>
                <w:lang w:eastAsia="en-US"/>
              </w:rPr>
            </w:pPr>
          </w:p>
        </w:tc>
        <w:tc>
          <w:tcPr>
            <w:tcW w:w="471" w:type="pct"/>
          </w:tcPr>
          <w:p w14:paraId="4FDD11F5">
            <w:pPr>
              <w:rPr>
                <w:rFonts w:ascii="Arial" w:hAnsi="Calibri" w:eastAsia="Times New Roman"/>
                <w:lang w:eastAsia="en-US"/>
              </w:rPr>
            </w:pPr>
          </w:p>
        </w:tc>
        <w:tc>
          <w:tcPr>
            <w:tcW w:w="471" w:type="pct"/>
          </w:tcPr>
          <w:p w14:paraId="6644DD7F">
            <w:pPr>
              <w:rPr>
                <w:rFonts w:ascii="Arial" w:hAnsi="Calibri" w:eastAsia="Times New Roman"/>
                <w:lang w:eastAsia="en-US"/>
              </w:rPr>
            </w:pPr>
          </w:p>
        </w:tc>
        <w:tc>
          <w:tcPr>
            <w:tcW w:w="471" w:type="pct"/>
          </w:tcPr>
          <w:p w14:paraId="03E264D6">
            <w:pPr>
              <w:rPr>
                <w:rFonts w:ascii="Arial" w:hAnsi="Calibri" w:eastAsia="Times New Roman"/>
                <w:lang w:eastAsia="en-US"/>
              </w:rPr>
            </w:pPr>
          </w:p>
        </w:tc>
        <w:tc>
          <w:tcPr>
            <w:tcW w:w="585" w:type="pct"/>
          </w:tcPr>
          <w:p w14:paraId="7E0FBF9A">
            <w:pPr>
              <w:rPr>
                <w:rFonts w:ascii="Arial" w:hAnsi="Calibri" w:eastAsia="Times New Roman"/>
                <w:lang w:eastAsia="en-US"/>
              </w:rPr>
            </w:pPr>
          </w:p>
        </w:tc>
        <w:tc>
          <w:tcPr>
            <w:tcW w:w="804" w:type="pct"/>
          </w:tcPr>
          <w:p w14:paraId="73CF7EFB">
            <w:pPr>
              <w:rPr>
                <w:rFonts w:ascii="Arial" w:hAnsi="Calibri" w:eastAsia="Times New Roman"/>
                <w:lang w:eastAsia="en-US"/>
              </w:rPr>
            </w:pPr>
          </w:p>
        </w:tc>
        <w:tc>
          <w:tcPr>
            <w:tcW w:w="459" w:type="pct"/>
          </w:tcPr>
          <w:p w14:paraId="2F1870D3">
            <w:pPr>
              <w:rPr>
                <w:rFonts w:ascii="Arial" w:hAnsi="Calibri" w:eastAsia="Times New Roman"/>
                <w:lang w:eastAsia="en-US"/>
              </w:rPr>
            </w:pPr>
          </w:p>
        </w:tc>
      </w:tr>
      <w:tr w14:paraId="1EB83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4943" w:type="pct"/>
            <w:gridSpan w:val="10"/>
          </w:tcPr>
          <w:p w14:paraId="744AF706">
            <w:pPr>
              <w:pStyle w:val="33"/>
              <w:spacing w:before="90" w:line="219" w:lineRule="auto"/>
              <w:ind w:left="118"/>
              <w:rPr>
                <w:rFonts w:eastAsia="Times New Roman"/>
                <w:sz w:val="24"/>
                <w:szCs w:val="24"/>
                <w:lang w:eastAsia="zh-CN"/>
              </w:rPr>
            </w:pPr>
            <w:r>
              <w:rPr>
                <w:rFonts w:eastAsia="Times New Roman"/>
                <w:spacing w:val="-2"/>
                <w:sz w:val="24"/>
                <w:szCs w:val="24"/>
                <w:lang w:eastAsia="zh-CN"/>
              </w:rPr>
              <w:t>合计金额大写：人民币</w:t>
            </w:r>
            <w:r>
              <w:rPr>
                <w:rFonts w:eastAsia="Times New Roman"/>
                <w:spacing w:val="-3"/>
                <w:sz w:val="24"/>
                <w:szCs w:val="24"/>
                <w:lang w:eastAsia="zh-CN"/>
              </w:rPr>
              <w:t>(￥)</w:t>
            </w:r>
          </w:p>
        </w:tc>
      </w:tr>
    </w:tbl>
    <w:p w14:paraId="31423DEA">
      <w:pPr>
        <w:snapToGrid w:val="0"/>
        <w:spacing w:before="50" w:after="50" w:line="360" w:lineRule="auto"/>
        <w:jc w:val="left"/>
        <w:rPr>
          <w:rFonts w:ascii="宋体" w:hAnsi="宋体"/>
          <w:szCs w:val="21"/>
        </w:rPr>
      </w:pPr>
    </w:p>
    <w:p w14:paraId="39B22889">
      <w:pPr>
        <w:snapToGrid w:val="0"/>
        <w:spacing w:before="50" w:after="50" w:line="360" w:lineRule="auto"/>
        <w:jc w:val="left"/>
        <w:rPr>
          <w:rFonts w:ascii="宋体" w:hAnsi="宋体"/>
          <w:szCs w:val="21"/>
        </w:rPr>
      </w:pPr>
      <w:r>
        <w:rPr>
          <w:rFonts w:hint="eastAsia" w:ascii="宋体" w:hAnsi="宋体"/>
          <w:szCs w:val="21"/>
        </w:rPr>
        <w:t xml:space="preserve">注: </w:t>
      </w:r>
    </w:p>
    <w:p w14:paraId="3C93D212">
      <w:pPr>
        <w:spacing w:before="178" w:line="290" w:lineRule="auto"/>
        <w:ind w:left="118" w:right="156" w:firstLine="494"/>
        <w:rPr>
          <w:rFonts w:ascii="宋体" w:hAnsi="宋体" w:cs="宋体"/>
          <w:sz w:val="24"/>
        </w:rPr>
      </w:pPr>
      <w:r>
        <w:rPr>
          <w:rFonts w:ascii="宋体" w:hAnsi="宋体" w:cs="宋体"/>
          <w:spacing w:val="-1"/>
          <w:sz w:val="24"/>
        </w:rPr>
        <w:t>1.投标人的开标一览表必须加盖投标人电子签章并由法定代表人或者委托代理人签字</w:t>
      </w:r>
      <w:r>
        <w:rPr>
          <w:rFonts w:ascii="宋体" w:hAnsi="宋体" w:cs="宋体"/>
          <w:spacing w:val="-2"/>
          <w:sz w:val="24"/>
        </w:rPr>
        <w:t>或者电子签名，</w:t>
      </w:r>
      <w:r>
        <w:rPr>
          <w:rFonts w:ascii="宋体" w:hAnsi="宋体" w:cs="宋体"/>
          <w:b/>
          <w:bCs/>
          <w:spacing w:val="-2"/>
          <w:sz w:val="24"/>
        </w:rPr>
        <w:t>否则其投标作无效标处理</w:t>
      </w:r>
      <w:r>
        <w:rPr>
          <w:rFonts w:ascii="宋体" w:hAnsi="宋体" w:cs="宋体"/>
          <w:spacing w:val="-2"/>
          <w:sz w:val="24"/>
        </w:rPr>
        <w:t>。</w:t>
      </w:r>
    </w:p>
    <w:p w14:paraId="74926DBB">
      <w:pPr>
        <w:spacing w:before="180" w:line="288" w:lineRule="auto"/>
        <w:ind w:left="126" w:right="156" w:firstLine="471"/>
        <w:rPr>
          <w:rFonts w:ascii="宋体" w:hAnsi="宋体" w:cs="宋体"/>
          <w:sz w:val="24"/>
        </w:rPr>
      </w:pPr>
      <w:r>
        <w:rPr>
          <w:rFonts w:ascii="宋体" w:hAnsi="宋体" w:cs="宋体"/>
          <w:sz w:val="24"/>
        </w:rPr>
        <w:t>2.报价一经涂改，应在涂改处加盖投标人公章或者由</w:t>
      </w:r>
      <w:r>
        <w:rPr>
          <w:rFonts w:ascii="宋体" w:hAnsi="宋体" w:cs="宋体"/>
          <w:spacing w:val="-1"/>
          <w:sz w:val="24"/>
        </w:rPr>
        <w:t>法定代表人或者委托代理人签字</w:t>
      </w:r>
      <w:r>
        <w:rPr>
          <w:rFonts w:ascii="宋体" w:hAnsi="宋体" w:cs="宋体"/>
          <w:spacing w:val="-2"/>
          <w:sz w:val="24"/>
        </w:rPr>
        <w:t>（或者电子签名）或者盖章</w:t>
      </w:r>
      <w:r>
        <w:rPr>
          <w:rFonts w:ascii="宋体" w:hAnsi="宋体" w:cs="宋体"/>
          <w:b/>
          <w:bCs/>
          <w:spacing w:val="-2"/>
          <w:sz w:val="24"/>
        </w:rPr>
        <w:t>，否则其投标作无效标处理。</w:t>
      </w:r>
    </w:p>
    <w:p w14:paraId="4F0F5B3C">
      <w:pPr>
        <w:spacing w:before="184" w:line="289" w:lineRule="auto"/>
        <w:ind w:left="117" w:right="156" w:firstLine="482"/>
        <w:rPr>
          <w:rFonts w:ascii="宋体" w:hAnsi="宋体" w:cs="宋体"/>
          <w:sz w:val="24"/>
        </w:rPr>
      </w:pPr>
      <w:r>
        <w:rPr>
          <w:rFonts w:ascii="宋体" w:hAnsi="宋体" w:cs="宋体"/>
          <w:sz w:val="24"/>
        </w:rPr>
        <w:t>3.招标文件中列明采购专用耗材的，应按招标文</w:t>
      </w:r>
      <w:r>
        <w:rPr>
          <w:rFonts w:ascii="宋体" w:hAnsi="宋体" w:cs="宋体"/>
          <w:spacing w:val="-1"/>
          <w:sz w:val="24"/>
        </w:rPr>
        <w:t>件规定的耗材量或者按耗材的常规试</w:t>
      </w:r>
      <w:r>
        <w:rPr>
          <w:rFonts w:ascii="宋体" w:hAnsi="宋体" w:cs="宋体"/>
          <w:spacing w:val="-2"/>
          <w:sz w:val="24"/>
        </w:rPr>
        <w:t>用量提供报价。</w:t>
      </w:r>
    </w:p>
    <w:p w14:paraId="2A978EC4">
      <w:pPr>
        <w:spacing w:before="182" w:line="219" w:lineRule="auto"/>
        <w:ind w:left="594"/>
        <w:rPr>
          <w:rFonts w:ascii="宋体" w:hAnsi="宋体" w:cs="宋体"/>
          <w:sz w:val="24"/>
        </w:rPr>
      </w:pPr>
      <w:r>
        <w:rPr>
          <w:rFonts w:ascii="宋体" w:hAnsi="宋体" w:cs="宋体"/>
          <w:spacing w:val="-1"/>
          <w:sz w:val="24"/>
        </w:rPr>
        <w:t>4.如有多分标，按分标分别提供开标一览表，</w:t>
      </w:r>
      <w:r>
        <w:rPr>
          <w:rFonts w:ascii="宋体" w:hAnsi="宋体" w:cs="宋体"/>
          <w:b/>
          <w:bCs/>
          <w:spacing w:val="-1"/>
          <w:sz w:val="24"/>
        </w:rPr>
        <w:t>否则投标无效。</w:t>
      </w:r>
    </w:p>
    <w:p w14:paraId="4B771358">
      <w:pPr>
        <w:spacing w:line="463" w:lineRule="auto"/>
        <w:rPr>
          <w:rFonts w:ascii="Arial"/>
        </w:rPr>
      </w:pPr>
    </w:p>
    <w:p w14:paraId="48F068E0">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11C485B3">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1F2153D5">
      <w:pPr>
        <w:snapToGrid w:val="0"/>
        <w:spacing w:before="50" w:after="50" w:line="480" w:lineRule="auto"/>
        <w:ind w:right="-817" w:rightChars="-389"/>
        <w:rPr>
          <w:rFonts w:ascii="宋体" w:hAnsi="宋体"/>
          <w:b/>
          <w:bCs/>
          <w:szCs w:val="21"/>
        </w:rPr>
      </w:pPr>
      <w:r>
        <w:rPr>
          <w:rFonts w:hint="eastAsia" w:ascii="宋体" w:hAnsi="宋体"/>
          <w:b/>
          <w:bCs/>
          <w:szCs w:val="21"/>
        </w:rPr>
        <w:t>日期：    年   月   日</w:t>
      </w:r>
    </w:p>
    <w:p w14:paraId="1FBCBE4D">
      <w:pPr>
        <w:pStyle w:val="34"/>
        <w:jc w:val="both"/>
        <w:rPr>
          <w:color w:val="auto"/>
          <w:sz w:val="30"/>
        </w:rPr>
      </w:pPr>
    </w:p>
    <w:p w14:paraId="724A7DC4">
      <w:pPr>
        <w:snapToGrid w:val="0"/>
        <w:spacing w:beforeLines="50" w:after="50" w:line="360" w:lineRule="auto"/>
        <w:jc w:val="center"/>
        <w:outlineLvl w:val="1"/>
        <w:rPr>
          <w:b/>
          <w:sz w:val="28"/>
          <w:szCs w:val="28"/>
        </w:rPr>
        <w:sectPr>
          <w:footerReference r:id="rId14" w:type="first"/>
          <w:footerReference r:id="rId13" w:type="default"/>
          <w:pgSz w:w="11906" w:h="16838"/>
          <w:pgMar w:top="1134" w:right="1247" w:bottom="1560" w:left="1247" w:header="851" w:footer="992" w:gutter="0"/>
          <w:cols w:space="720" w:num="1"/>
          <w:titlePg/>
          <w:docGrid w:linePitch="312" w:charSpace="0"/>
        </w:sectPr>
      </w:pPr>
      <w:bookmarkStart w:id="163" w:name="_Toc19686837"/>
      <w:bookmarkStart w:id="164" w:name="_Toc20754"/>
    </w:p>
    <w:p w14:paraId="4D614C04">
      <w:pPr>
        <w:snapToGrid w:val="0"/>
        <w:spacing w:beforeLines="50" w:after="50" w:line="360" w:lineRule="auto"/>
        <w:jc w:val="center"/>
        <w:outlineLvl w:val="1"/>
        <w:rPr>
          <w:rFonts w:ascii="宋体" w:hAnsi="宋体"/>
          <w:b/>
          <w:bCs/>
          <w:sz w:val="28"/>
          <w:szCs w:val="28"/>
        </w:rPr>
      </w:pPr>
      <w:r>
        <w:rPr>
          <w:rFonts w:hint="eastAsia"/>
          <w:b/>
          <w:sz w:val="28"/>
          <w:szCs w:val="28"/>
        </w:rPr>
        <w:t>第三节</w:t>
      </w:r>
      <w:r>
        <w:rPr>
          <w:rFonts w:hint="eastAsia" w:ascii="宋体" w:hAnsi="宋体"/>
          <w:b/>
          <w:bCs/>
          <w:sz w:val="28"/>
          <w:szCs w:val="28"/>
        </w:rPr>
        <w:t>资格证明文件格式</w:t>
      </w:r>
      <w:bookmarkEnd w:id="161"/>
      <w:bookmarkEnd w:id="162"/>
      <w:bookmarkEnd w:id="163"/>
      <w:bookmarkEnd w:id="164"/>
    </w:p>
    <w:p w14:paraId="264226F6">
      <w:pPr>
        <w:snapToGrid w:val="0"/>
        <w:spacing w:beforeLines="50" w:after="50" w:line="360" w:lineRule="auto"/>
        <w:jc w:val="left"/>
        <w:rPr>
          <w:rFonts w:ascii="宋体" w:hAnsi="宋体"/>
          <w:b/>
          <w:sz w:val="24"/>
        </w:rPr>
      </w:pPr>
    </w:p>
    <w:p w14:paraId="4FE215EE">
      <w:pPr>
        <w:snapToGrid w:val="0"/>
        <w:spacing w:beforeLines="50" w:after="50" w:line="360" w:lineRule="auto"/>
        <w:jc w:val="left"/>
        <w:rPr>
          <w:rFonts w:ascii="宋体" w:hAnsi="宋体"/>
          <w:b/>
          <w:sz w:val="24"/>
        </w:rPr>
      </w:pPr>
    </w:p>
    <w:p w14:paraId="6BDB3203">
      <w:pPr>
        <w:snapToGrid w:val="0"/>
        <w:spacing w:beforeLines="50" w:after="50"/>
        <w:rPr>
          <w:rFonts w:ascii="宋体" w:hAnsi="宋体"/>
          <w:bCs/>
          <w:sz w:val="32"/>
          <w:szCs w:val="20"/>
        </w:rPr>
      </w:pPr>
      <w:r>
        <w:rPr>
          <w:rFonts w:hint="eastAsia" w:ascii="宋体" w:hAnsi="宋体" w:cs="宋体"/>
          <w:bCs/>
        </w:rPr>
        <w:t>电子投标文件</w:t>
      </w:r>
    </w:p>
    <w:p w14:paraId="688F9CBB">
      <w:pPr>
        <w:snapToGrid w:val="0"/>
        <w:spacing w:beforeLines="50" w:after="50"/>
        <w:rPr>
          <w:rFonts w:ascii="宋体" w:hAnsi="宋体"/>
          <w:sz w:val="24"/>
          <w:szCs w:val="20"/>
        </w:rPr>
      </w:pPr>
    </w:p>
    <w:p w14:paraId="4021C458">
      <w:pPr>
        <w:snapToGrid w:val="0"/>
        <w:spacing w:beforeLines="50" w:after="50"/>
        <w:jc w:val="center"/>
        <w:rPr>
          <w:rFonts w:ascii="宋体" w:hAnsi="宋体"/>
          <w:b/>
          <w:sz w:val="24"/>
          <w:szCs w:val="20"/>
        </w:rPr>
      </w:pPr>
      <w:r>
        <w:rPr>
          <w:rFonts w:hint="eastAsia" w:ascii="宋体" w:hAnsi="宋体"/>
          <w:b/>
          <w:sz w:val="32"/>
          <w:szCs w:val="32"/>
        </w:rPr>
        <w:t>资格证明文件</w:t>
      </w:r>
    </w:p>
    <w:p w14:paraId="07C342C5">
      <w:pPr>
        <w:snapToGrid w:val="0"/>
        <w:spacing w:beforeLines="50" w:after="50"/>
        <w:rPr>
          <w:rFonts w:ascii="宋体" w:hAnsi="宋体"/>
          <w:bCs/>
          <w:sz w:val="24"/>
          <w:szCs w:val="20"/>
        </w:rPr>
      </w:pPr>
    </w:p>
    <w:p w14:paraId="6271EC2E">
      <w:pPr>
        <w:snapToGrid w:val="0"/>
        <w:spacing w:beforeLines="50" w:after="50"/>
        <w:rPr>
          <w:rFonts w:ascii="宋体" w:hAnsi="宋体"/>
          <w:bCs/>
          <w:sz w:val="24"/>
          <w:szCs w:val="20"/>
        </w:rPr>
      </w:pPr>
    </w:p>
    <w:p w14:paraId="19A5730B">
      <w:pPr>
        <w:snapToGrid w:val="0"/>
        <w:spacing w:beforeLines="50" w:after="50"/>
        <w:rPr>
          <w:rFonts w:ascii="宋体" w:hAnsi="宋体"/>
          <w:bCs/>
          <w:sz w:val="24"/>
          <w:szCs w:val="20"/>
        </w:rPr>
      </w:pPr>
    </w:p>
    <w:p w14:paraId="7C20A83C">
      <w:pPr>
        <w:snapToGrid w:val="0"/>
        <w:spacing w:beforeLines="50" w:after="50"/>
        <w:rPr>
          <w:rFonts w:ascii="宋体" w:hAnsi="宋体"/>
          <w:bCs/>
          <w:sz w:val="24"/>
          <w:szCs w:val="20"/>
        </w:rPr>
      </w:pPr>
    </w:p>
    <w:p w14:paraId="34291415">
      <w:pPr>
        <w:snapToGrid w:val="0"/>
        <w:spacing w:beforeLines="50" w:after="50"/>
        <w:rPr>
          <w:rFonts w:ascii="宋体" w:hAnsi="宋体"/>
          <w:bCs/>
          <w:sz w:val="24"/>
          <w:szCs w:val="20"/>
        </w:rPr>
      </w:pPr>
    </w:p>
    <w:p w14:paraId="66667001">
      <w:pPr>
        <w:snapToGrid w:val="0"/>
        <w:spacing w:beforeLines="50" w:after="50"/>
        <w:rPr>
          <w:rFonts w:ascii="宋体" w:hAnsi="宋体"/>
          <w:bCs/>
          <w:sz w:val="24"/>
          <w:szCs w:val="20"/>
        </w:rPr>
      </w:pPr>
    </w:p>
    <w:p w14:paraId="7DD1EF4C">
      <w:pPr>
        <w:snapToGrid w:val="0"/>
        <w:spacing w:beforeLines="50" w:after="50"/>
        <w:rPr>
          <w:rFonts w:ascii="宋体" w:hAnsi="宋体"/>
          <w:bCs/>
          <w:sz w:val="24"/>
          <w:szCs w:val="20"/>
        </w:rPr>
      </w:pPr>
    </w:p>
    <w:p w14:paraId="3E97E857">
      <w:pPr>
        <w:snapToGrid w:val="0"/>
        <w:spacing w:beforeLines="50" w:after="50"/>
        <w:ind w:firstLine="540" w:firstLineChars="225"/>
        <w:rPr>
          <w:rFonts w:ascii="宋体" w:hAnsi="宋体"/>
          <w:bCs/>
          <w:sz w:val="24"/>
        </w:rPr>
      </w:pPr>
      <w:r>
        <w:rPr>
          <w:rFonts w:hint="eastAsia" w:ascii="宋体" w:hAnsi="宋体"/>
          <w:bCs/>
          <w:sz w:val="24"/>
        </w:rPr>
        <w:t>项目名称：</w:t>
      </w:r>
    </w:p>
    <w:p w14:paraId="60A72C07">
      <w:pPr>
        <w:snapToGrid w:val="0"/>
        <w:spacing w:beforeLines="50" w:after="50"/>
        <w:ind w:firstLine="540" w:firstLineChars="225"/>
        <w:rPr>
          <w:rFonts w:ascii="宋体" w:hAnsi="宋体"/>
          <w:bCs/>
          <w:sz w:val="24"/>
          <w:szCs w:val="20"/>
        </w:rPr>
      </w:pPr>
    </w:p>
    <w:p w14:paraId="4EE5897C">
      <w:pPr>
        <w:snapToGrid w:val="0"/>
        <w:spacing w:beforeLines="50" w:after="50"/>
        <w:ind w:firstLine="540" w:firstLineChars="225"/>
        <w:rPr>
          <w:rFonts w:ascii="宋体" w:hAnsi="宋体"/>
          <w:bCs/>
          <w:sz w:val="24"/>
        </w:rPr>
      </w:pPr>
      <w:r>
        <w:rPr>
          <w:rFonts w:hint="eastAsia" w:ascii="宋体" w:hAnsi="宋体"/>
          <w:bCs/>
          <w:sz w:val="24"/>
        </w:rPr>
        <w:t>项目编号：</w:t>
      </w:r>
    </w:p>
    <w:p w14:paraId="43C2B3AB">
      <w:pPr>
        <w:snapToGrid w:val="0"/>
        <w:spacing w:beforeLines="50" w:after="50"/>
        <w:ind w:firstLine="540" w:firstLineChars="225"/>
        <w:rPr>
          <w:rFonts w:ascii="宋体" w:hAnsi="宋体"/>
          <w:bCs/>
          <w:sz w:val="24"/>
          <w:szCs w:val="20"/>
        </w:rPr>
      </w:pPr>
    </w:p>
    <w:p w14:paraId="0CF3A647">
      <w:pPr>
        <w:snapToGrid w:val="0"/>
        <w:spacing w:beforeLines="50" w:after="50"/>
        <w:ind w:firstLine="540" w:firstLineChars="225"/>
        <w:rPr>
          <w:rFonts w:ascii="宋体" w:hAnsi="宋体"/>
          <w:bCs/>
          <w:sz w:val="24"/>
        </w:rPr>
      </w:pPr>
      <w:r>
        <w:rPr>
          <w:rFonts w:hint="eastAsia" w:ascii="宋体" w:hAnsi="宋体"/>
          <w:bCs/>
          <w:sz w:val="24"/>
        </w:rPr>
        <w:t>所投分标：</w:t>
      </w:r>
    </w:p>
    <w:p w14:paraId="2A78AD2E">
      <w:pPr>
        <w:pStyle w:val="2"/>
        <w:snapToGrid w:val="0"/>
        <w:spacing w:before="50" w:after="50"/>
        <w:ind w:firstLine="540" w:firstLineChars="225"/>
        <w:rPr>
          <w:rFonts w:ascii="宋体" w:hAnsi="宋体"/>
          <w:bCs/>
          <w:sz w:val="24"/>
          <w:szCs w:val="24"/>
        </w:rPr>
      </w:pPr>
    </w:p>
    <w:p w14:paraId="509809A5">
      <w:pPr>
        <w:pStyle w:val="2"/>
        <w:snapToGrid w:val="0"/>
        <w:spacing w:before="50" w:after="50"/>
        <w:ind w:firstLine="540" w:firstLineChars="225"/>
        <w:rPr>
          <w:rFonts w:ascii="宋体" w:hAnsi="宋体"/>
          <w:bCs/>
          <w:sz w:val="24"/>
          <w:szCs w:val="24"/>
        </w:rPr>
      </w:pPr>
      <w:r>
        <w:rPr>
          <w:rFonts w:hint="eastAsia" w:ascii="宋体" w:hAnsi="宋体"/>
          <w:bCs/>
          <w:sz w:val="24"/>
          <w:szCs w:val="24"/>
        </w:rPr>
        <w:t>投标人名称：</w:t>
      </w:r>
    </w:p>
    <w:p w14:paraId="0A3A598C">
      <w:pPr>
        <w:pStyle w:val="2"/>
        <w:snapToGrid w:val="0"/>
        <w:spacing w:before="50" w:after="50"/>
        <w:ind w:firstLine="540" w:firstLineChars="225"/>
        <w:rPr>
          <w:rFonts w:ascii="宋体" w:hAnsi="宋体"/>
          <w:bCs/>
          <w:sz w:val="24"/>
          <w:szCs w:val="24"/>
        </w:rPr>
      </w:pPr>
    </w:p>
    <w:p w14:paraId="4FD05F21">
      <w:pPr>
        <w:pStyle w:val="2"/>
        <w:snapToGrid w:val="0"/>
        <w:spacing w:before="50" w:after="50"/>
        <w:ind w:firstLine="960" w:firstLineChars="400"/>
        <w:rPr>
          <w:rFonts w:ascii="宋体" w:hAnsi="宋体"/>
          <w:bCs/>
          <w:sz w:val="24"/>
          <w:szCs w:val="24"/>
        </w:rPr>
      </w:pPr>
    </w:p>
    <w:p w14:paraId="1E3B2014">
      <w:pPr>
        <w:snapToGrid w:val="0"/>
        <w:spacing w:beforeLines="50" w:after="50"/>
        <w:ind w:firstLine="645"/>
        <w:jc w:val="center"/>
        <w:rPr>
          <w:rFonts w:ascii="宋体" w:hAnsi="宋体"/>
          <w:sz w:val="24"/>
        </w:rPr>
      </w:pPr>
      <w:r>
        <w:rPr>
          <w:rFonts w:hint="eastAsia" w:ascii="宋体" w:hAnsi="宋体"/>
          <w:sz w:val="24"/>
        </w:rPr>
        <w:t>年  月  日</w:t>
      </w:r>
    </w:p>
    <w:p w14:paraId="4147EA40">
      <w:pPr>
        <w:snapToGrid w:val="0"/>
        <w:spacing w:beforeLines="50" w:after="50"/>
        <w:rPr>
          <w:rFonts w:ascii="宋体" w:hAnsi="宋体"/>
          <w:sz w:val="24"/>
          <w:szCs w:val="20"/>
        </w:rPr>
      </w:pPr>
    </w:p>
    <w:p w14:paraId="7038F58E">
      <w:pPr>
        <w:snapToGrid w:val="0"/>
        <w:spacing w:beforeLines="50" w:after="50"/>
        <w:rPr>
          <w:rFonts w:ascii="宋体" w:hAnsi="宋体"/>
          <w:sz w:val="24"/>
          <w:szCs w:val="20"/>
        </w:rPr>
      </w:pPr>
    </w:p>
    <w:p w14:paraId="3F1038F2">
      <w:pPr>
        <w:snapToGrid w:val="0"/>
        <w:spacing w:beforeLines="50" w:after="50" w:line="360" w:lineRule="auto"/>
        <w:jc w:val="center"/>
        <w:rPr>
          <w:rFonts w:ascii="宋体" w:hAnsi="宋体"/>
          <w:sz w:val="24"/>
          <w:szCs w:val="20"/>
        </w:rPr>
      </w:pPr>
      <w:r>
        <w:rPr>
          <w:rFonts w:ascii="宋体" w:hAnsi="宋体"/>
          <w:b/>
          <w:bCs/>
          <w:sz w:val="24"/>
        </w:rPr>
        <w:br w:type="page"/>
      </w:r>
      <w:r>
        <w:rPr>
          <w:rFonts w:hint="eastAsia" w:ascii="宋体" w:hAnsi="宋体"/>
          <w:b/>
          <w:bCs/>
          <w:sz w:val="24"/>
        </w:rPr>
        <w:t>资格证明文件目录</w:t>
      </w:r>
    </w:p>
    <w:p w14:paraId="48F4F037">
      <w:pPr>
        <w:snapToGrid w:val="0"/>
        <w:spacing w:line="360" w:lineRule="auto"/>
        <w:ind w:firstLine="420" w:firstLineChars="200"/>
        <w:jc w:val="center"/>
        <w:rPr>
          <w:rFonts w:ascii="宋体" w:hAnsi="宋体"/>
          <w:szCs w:val="21"/>
        </w:rPr>
      </w:pPr>
      <w:r>
        <w:rPr>
          <w:rFonts w:hint="eastAsia" w:ascii="宋体" w:hAnsi="宋体"/>
          <w:szCs w:val="21"/>
        </w:rPr>
        <w:t>根据招标文件规定及投标人提供的材料自行编写目录。</w:t>
      </w:r>
    </w:p>
    <w:p w14:paraId="63B2AEF3">
      <w:pPr>
        <w:snapToGrid w:val="0"/>
        <w:spacing w:before="50" w:afterLines="50"/>
        <w:jc w:val="left"/>
        <w:rPr>
          <w:rFonts w:ascii="宋体" w:hAnsi="宋体"/>
          <w:sz w:val="24"/>
        </w:rPr>
      </w:pPr>
    </w:p>
    <w:p w14:paraId="1BB8F90A">
      <w:pPr>
        <w:snapToGrid w:val="0"/>
        <w:spacing w:before="50" w:afterLines="50"/>
        <w:jc w:val="left"/>
        <w:rPr>
          <w:rFonts w:ascii="宋体" w:hAnsi="宋体"/>
          <w:sz w:val="24"/>
        </w:rPr>
      </w:pPr>
    </w:p>
    <w:p w14:paraId="1800F580">
      <w:pPr>
        <w:snapToGrid w:val="0"/>
        <w:spacing w:beforeLines="50" w:after="50"/>
        <w:jc w:val="left"/>
        <w:rPr>
          <w:rFonts w:ascii="宋体" w:hAnsi="宋体"/>
          <w:b/>
          <w:sz w:val="24"/>
        </w:rPr>
      </w:pPr>
      <w:r>
        <w:rPr>
          <w:rFonts w:ascii="宋体" w:hAnsi="宋体"/>
          <w:b/>
          <w:sz w:val="24"/>
        </w:rPr>
        <w:br w:type="page"/>
      </w:r>
      <w:r>
        <w:rPr>
          <w:rFonts w:hint="eastAsia" w:ascii="宋体" w:hAnsi="宋体"/>
          <w:b/>
          <w:sz w:val="24"/>
        </w:rPr>
        <w:t>5.投标人直接控股、管理关系信息表</w:t>
      </w:r>
    </w:p>
    <w:p w14:paraId="1C44B349">
      <w:pPr>
        <w:snapToGrid w:val="0"/>
        <w:spacing w:before="50" w:afterLines="50" w:line="360" w:lineRule="auto"/>
        <w:jc w:val="center"/>
        <w:rPr>
          <w:rFonts w:ascii="宋体" w:hAnsi="宋体"/>
          <w:b/>
          <w:sz w:val="28"/>
          <w:szCs w:val="28"/>
        </w:rPr>
      </w:pPr>
    </w:p>
    <w:p w14:paraId="66E28538">
      <w:pPr>
        <w:snapToGrid w:val="0"/>
        <w:spacing w:before="50" w:afterLines="50" w:line="300" w:lineRule="auto"/>
        <w:jc w:val="center"/>
        <w:rPr>
          <w:rFonts w:ascii="宋体" w:hAnsi="宋体"/>
          <w:b/>
          <w:sz w:val="28"/>
          <w:szCs w:val="28"/>
        </w:rPr>
      </w:pPr>
      <w:r>
        <w:rPr>
          <w:rFonts w:hint="eastAsia" w:ascii="宋体" w:hAnsi="宋体"/>
          <w:b/>
          <w:sz w:val="28"/>
          <w:szCs w:val="28"/>
        </w:rPr>
        <w:t>投标人直接控股股东信息表</w:t>
      </w:r>
    </w:p>
    <w:tbl>
      <w:tblPr>
        <w:tblStyle w:val="25"/>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34F3B966">
        <w:tblPrEx>
          <w:tblCellMar>
            <w:top w:w="0" w:type="dxa"/>
            <w:left w:w="0" w:type="dxa"/>
            <w:bottom w:w="0" w:type="dxa"/>
            <w:right w:w="0" w:type="dxa"/>
          </w:tblCellMar>
        </w:tblPrEx>
        <w:trPr>
          <w:trHeight w:val="397" w:hRule="exact"/>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CA91501">
            <w:pPr>
              <w:spacing w:line="300" w:lineRule="auto"/>
              <w:jc w:val="center"/>
              <w:rPr>
                <w:rFonts w:ascii="宋体" w:hAnsi="宋体" w:cs="宋体"/>
                <w:b/>
                <w:bCs/>
                <w:kern w:val="0"/>
                <w:sz w:val="22"/>
                <w:szCs w:val="22"/>
              </w:rPr>
            </w:pPr>
            <w:r>
              <w:rPr>
                <w:rFonts w:hint="eastAsia" w:ascii="宋体" w:hAnsi="宋体" w:cs="宋体"/>
                <w:b/>
                <w:bCs/>
                <w:kern w:val="0"/>
                <w:sz w:val="22"/>
                <w:szCs w:val="22"/>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959ABD4">
            <w:pPr>
              <w:spacing w:line="300" w:lineRule="auto"/>
              <w:jc w:val="center"/>
              <w:rPr>
                <w:rFonts w:ascii="宋体" w:hAnsi="宋体" w:cs="宋体"/>
                <w:b/>
                <w:bCs/>
                <w:kern w:val="0"/>
                <w:sz w:val="22"/>
                <w:szCs w:val="22"/>
              </w:rPr>
            </w:pPr>
            <w:r>
              <w:rPr>
                <w:rFonts w:hint="eastAsia" w:ascii="宋体" w:hAnsi="宋体" w:cs="宋体"/>
                <w:b/>
                <w:bCs/>
                <w:kern w:val="0"/>
                <w:sz w:val="22"/>
                <w:szCs w:val="22"/>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4D014E1">
            <w:pPr>
              <w:spacing w:line="300" w:lineRule="auto"/>
              <w:jc w:val="center"/>
              <w:rPr>
                <w:rFonts w:ascii="宋体" w:hAnsi="宋体" w:cs="宋体"/>
                <w:b/>
                <w:bCs/>
                <w:kern w:val="0"/>
                <w:sz w:val="22"/>
                <w:szCs w:val="22"/>
              </w:rPr>
            </w:pPr>
            <w:r>
              <w:rPr>
                <w:rFonts w:hint="eastAsia" w:ascii="宋体" w:hAnsi="宋体" w:cs="宋体"/>
                <w:b/>
                <w:bCs/>
                <w:kern w:val="0"/>
                <w:sz w:val="22"/>
                <w:szCs w:val="22"/>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8B3A2D8">
            <w:pPr>
              <w:spacing w:line="300" w:lineRule="auto"/>
              <w:jc w:val="center"/>
              <w:rPr>
                <w:rFonts w:ascii="宋体" w:hAnsi="宋体" w:cs="宋体"/>
                <w:b/>
                <w:bCs/>
                <w:kern w:val="0"/>
                <w:sz w:val="22"/>
                <w:szCs w:val="22"/>
              </w:rPr>
            </w:pPr>
            <w:r>
              <w:rPr>
                <w:rFonts w:hint="eastAsia" w:ascii="宋体" w:hAnsi="宋体" w:cs="宋体"/>
                <w:b/>
                <w:bCs/>
                <w:kern w:val="0"/>
                <w:sz w:val="22"/>
                <w:szCs w:val="22"/>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CA9375A">
            <w:pPr>
              <w:spacing w:line="300" w:lineRule="auto"/>
              <w:jc w:val="center"/>
              <w:rPr>
                <w:rFonts w:ascii="宋体" w:hAnsi="宋体" w:cs="宋体"/>
                <w:b/>
                <w:bCs/>
                <w:kern w:val="0"/>
                <w:sz w:val="22"/>
                <w:szCs w:val="22"/>
              </w:rPr>
            </w:pPr>
            <w:r>
              <w:rPr>
                <w:rFonts w:hint="eastAsia" w:ascii="宋体" w:hAnsi="宋体" w:cs="宋体"/>
                <w:b/>
                <w:bCs/>
                <w:kern w:val="0"/>
                <w:sz w:val="22"/>
                <w:szCs w:val="22"/>
              </w:rPr>
              <w:t>备注</w:t>
            </w:r>
          </w:p>
        </w:tc>
      </w:tr>
      <w:tr w14:paraId="77709F34">
        <w:tblPrEx>
          <w:tblCellMar>
            <w:top w:w="0" w:type="dxa"/>
            <w:left w:w="0" w:type="dxa"/>
            <w:bottom w:w="0" w:type="dxa"/>
            <w:right w:w="0" w:type="dxa"/>
          </w:tblCellMar>
        </w:tblPrEx>
        <w:trPr>
          <w:trHeight w:val="397" w:hRule="exact"/>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67E9BD">
            <w:pPr>
              <w:spacing w:line="300" w:lineRule="auto"/>
              <w:jc w:val="center"/>
              <w:rPr>
                <w:rFonts w:ascii="宋体" w:hAnsi="宋体" w:cs="宋体"/>
                <w:kern w:val="0"/>
                <w:sz w:val="22"/>
                <w:szCs w:val="22"/>
              </w:rPr>
            </w:pPr>
            <w:r>
              <w:rPr>
                <w:rFonts w:hint="eastAsia" w:ascii="宋体" w:hAnsi="宋体" w:cs="宋体"/>
                <w:kern w:val="0"/>
                <w:sz w:val="22"/>
                <w:szCs w:val="22"/>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D9CB85">
            <w:pPr>
              <w:spacing w:line="300" w:lineRule="auto"/>
              <w:jc w:val="center"/>
              <w:rPr>
                <w:rFonts w:ascii="宋体" w:hAnsi="宋体" w:cs="宋体"/>
                <w:kern w:val="0"/>
                <w:sz w:val="22"/>
                <w:szCs w:val="22"/>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48C7DF">
            <w:pPr>
              <w:spacing w:line="300" w:lineRule="auto"/>
              <w:jc w:val="center"/>
              <w:rPr>
                <w:rFonts w:ascii="宋体" w:hAnsi="宋体" w:cs="宋体"/>
                <w:kern w:val="0"/>
                <w:sz w:val="22"/>
                <w:szCs w:val="22"/>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FA3037">
            <w:pPr>
              <w:spacing w:line="300" w:lineRule="auto"/>
              <w:jc w:val="center"/>
              <w:rPr>
                <w:rFonts w:ascii="宋体" w:hAnsi="宋体" w:cs="宋体"/>
                <w:kern w:val="0"/>
                <w:sz w:val="22"/>
                <w:szCs w:val="22"/>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527060">
            <w:pPr>
              <w:spacing w:line="300" w:lineRule="auto"/>
              <w:jc w:val="center"/>
              <w:rPr>
                <w:rFonts w:ascii="宋体" w:hAnsi="宋体" w:cs="宋体"/>
                <w:kern w:val="0"/>
                <w:sz w:val="22"/>
                <w:szCs w:val="22"/>
              </w:rPr>
            </w:pPr>
          </w:p>
        </w:tc>
      </w:tr>
      <w:tr w14:paraId="0F8CFDB6">
        <w:tblPrEx>
          <w:tblCellMar>
            <w:top w:w="0" w:type="dxa"/>
            <w:left w:w="0" w:type="dxa"/>
            <w:bottom w:w="0" w:type="dxa"/>
            <w:right w:w="0" w:type="dxa"/>
          </w:tblCellMar>
        </w:tblPrEx>
        <w:trPr>
          <w:trHeight w:val="397" w:hRule="exact"/>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C105E4">
            <w:pPr>
              <w:spacing w:line="300" w:lineRule="auto"/>
              <w:jc w:val="center"/>
              <w:rPr>
                <w:rFonts w:ascii="宋体" w:hAnsi="宋体" w:cs="宋体"/>
                <w:kern w:val="0"/>
                <w:sz w:val="22"/>
                <w:szCs w:val="22"/>
              </w:rPr>
            </w:pPr>
            <w:r>
              <w:rPr>
                <w:rFonts w:hint="eastAsia" w:ascii="宋体" w:hAnsi="宋体" w:cs="宋体"/>
                <w:kern w:val="0"/>
                <w:sz w:val="22"/>
                <w:szCs w:val="22"/>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03B8F1">
            <w:pPr>
              <w:spacing w:line="300" w:lineRule="auto"/>
              <w:jc w:val="center"/>
              <w:rPr>
                <w:rFonts w:ascii="宋体" w:hAnsi="宋体" w:cs="宋体"/>
                <w:kern w:val="0"/>
                <w:sz w:val="22"/>
                <w:szCs w:val="22"/>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8A5FEB">
            <w:pPr>
              <w:spacing w:line="300" w:lineRule="auto"/>
              <w:jc w:val="center"/>
              <w:rPr>
                <w:rFonts w:ascii="宋体" w:hAnsi="宋体" w:cs="宋体"/>
                <w:kern w:val="0"/>
                <w:sz w:val="22"/>
                <w:szCs w:val="22"/>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386BCD">
            <w:pPr>
              <w:spacing w:line="300" w:lineRule="auto"/>
              <w:jc w:val="center"/>
              <w:rPr>
                <w:rFonts w:ascii="宋体" w:hAnsi="宋体" w:cs="宋体"/>
                <w:kern w:val="0"/>
                <w:sz w:val="22"/>
                <w:szCs w:val="22"/>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1B8585">
            <w:pPr>
              <w:spacing w:line="300" w:lineRule="auto"/>
              <w:jc w:val="center"/>
              <w:rPr>
                <w:rFonts w:ascii="宋体" w:hAnsi="宋体" w:cs="宋体"/>
                <w:kern w:val="0"/>
                <w:sz w:val="22"/>
                <w:szCs w:val="22"/>
              </w:rPr>
            </w:pPr>
          </w:p>
        </w:tc>
      </w:tr>
      <w:tr w14:paraId="7CDF5CF8">
        <w:tblPrEx>
          <w:shd w:val="clear" w:color="auto" w:fill="FBFBFB"/>
          <w:tblCellMar>
            <w:top w:w="0" w:type="dxa"/>
            <w:left w:w="0" w:type="dxa"/>
            <w:bottom w:w="0" w:type="dxa"/>
            <w:right w:w="0" w:type="dxa"/>
          </w:tblCellMar>
        </w:tblPrEx>
        <w:trPr>
          <w:trHeight w:val="397" w:hRule="exact"/>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BBF6FA">
            <w:pPr>
              <w:spacing w:line="300" w:lineRule="auto"/>
              <w:jc w:val="center"/>
              <w:rPr>
                <w:rFonts w:ascii="宋体" w:hAnsi="宋体" w:cs="宋体"/>
                <w:kern w:val="0"/>
                <w:sz w:val="22"/>
                <w:szCs w:val="22"/>
              </w:rPr>
            </w:pPr>
            <w:r>
              <w:rPr>
                <w:rFonts w:hint="eastAsia" w:ascii="宋体" w:hAnsi="宋体" w:cs="宋体"/>
                <w:kern w:val="0"/>
                <w:sz w:val="22"/>
                <w:szCs w:val="22"/>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6CD22B">
            <w:pPr>
              <w:spacing w:line="300" w:lineRule="auto"/>
              <w:jc w:val="center"/>
              <w:rPr>
                <w:rFonts w:ascii="宋体" w:hAnsi="宋体" w:cs="宋体"/>
                <w:kern w:val="0"/>
                <w:sz w:val="22"/>
                <w:szCs w:val="22"/>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B62DC2">
            <w:pPr>
              <w:spacing w:line="300" w:lineRule="auto"/>
              <w:jc w:val="center"/>
              <w:rPr>
                <w:rFonts w:ascii="宋体" w:hAnsi="宋体" w:cs="宋体"/>
                <w:kern w:val="0"/>
                <w:sz w:val="22"/>
                <w:szCs w:val="22"/>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8AF287">
            <w:pPr>
              <w:spacing w:line="300" w:lineRule="auto"/>
              <w:jc w:val="center"/>
              <w:rPr>
                <w:rFonts w:ascii="宋体" w:hAnsi="宋体" w:cs="宋体"/>
                <w:kern w:val="0"/>
                <w:sz w:val="22"/>
                <w:szCs w:val="22"/>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71FFDA">
            <w:pPr>
              <w:spacing w:line="300" w:lineRule="auto"/>
              <w:jc w:val="center"/>
              <w:rPr>
                <w:rFonts w:ascii="宋体" w:hAnsi="宋体" w:cs="宋体"/>
                <w:kern w:val="0"/>
                <w:sz w:val="22"/>
                <w:szCs w:val="22"/>
              </w:rPr>
            </w:pPr>
          </w:p>
        </w:tc>
      </w:tr>
    </w:tbl>
    <w:p w14:paraId="33ACEDF3">
      <w:pPr>
        <w:snapToGrid w:val="0"/>
        <w:spacing w:line="300" w:lineRule="auto"/>
        <w:jc w:val="left"/>
        <w:rPr>
          <w:rFonts w:ascii="宋体" w:hAnsi="宋体"/>
          <w:sz w:val="22"/>
          <w:szCs w:val="22"/>
        </w:rPr>
      </w:pPr>
      <w:r>
        <w:rPr>
          <w:rFonts w:hint="eastAsia" w:ascii="宋体" w:hAnsi="宋体"/>
          <w:sz w:val="22"/>
          <w:szCs w:val="22"/>
        </w:rPr>
        <w:t>注：</w:t>
      </w:r>
    </w:p>
    <w:p w14:paraId="5EDE86EB">
      <w:pPr>
        <w:snapToGrid w:val="0"/>
        <w:spacing w:line="300" w:lineRule="auto"/>
        <w:jc w:val="left"/>
        <w:rPr>
          <w:rFonts w:ascii="宋体" w:hAnsi="宋体"/>
          <w:sz w:val="22"/>
          <w:szCs w:val="22"/>
        </w:rPr>
      </w:pPr>
      <w:r>
        <w:rPr>
          <w:rFonts w:hint="eastAsia" w:ascii="宋体" w:hAnsi="宋体"/>
          <w:sz w:val="22"/>
          <w:szCs w:val="22"/>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0230A9C">
      <w:pPr>
        <w:snapToGrid w:val="0"/>
        <w:spacing w:line="300" w:lineRule="auto"/>
        <w:jc w:val="left"/>
        <w:rPr>
          <w:rFonts w:ascii="宋体" w:hAnsi="宋体"/>
          <w:sz w:val="22"/>
          <w:szCs w:val="22"/>
        </w:rPr>
      </w:pPr>
      <w:r>
        <w:rPr>
          <w:rFonts w:hint="eastAsia" w:ascii="宋体" w:hAnsi="宋体"/>
          <w:sz w:val="22"/>
          <w:szCs w:val="22"/>
        </w:rPr>
        <w:t>2.本表所指的控股关系仅限于直接控股关系，不包括间接的控股关系。公司实际控制人与公司之间的关系不属于本表所指的直接控股关系。</w:t>
      </w:r>
    </w:p>
    <w:p w14:paraId="42B0B0AF">
      <w:pPr>
        <w:snapToGrid w:val="0"/>
        <w:spacing w:line="300" w:lineRule="auto"/>
        <w:jc w:val="left"/>
        <w:rPr>
          <w:rFonts w:ascii="宋体" w:hAnsi="宋体"/>
          <w:sz w:val="22"/>
          <w:szCs w:val="22"/>
        </w:rPr>
      </w:pPr>
      <w:r>
        <w:rPr>
          <w:rFonts w:hint="eastAsia" w:ascii="宋体" w:hAnsi="宋体"/>
          <w:sz w:val="22"/>
          <w:szCs w:val="22"/>
        </w:rPr>
        <w:t>3.供应商不存在直接控股股东的，则填“无”。</w:t>
      </w:r>
    </w:p>
    <w:p w14:paraId="6612ECEC">
      <w:pPr>
        <w:snapToGrid w:val="0"/>
        <w:spacing w:line="300" w:lineRule="auto"/>
        <w:jc w:val="left"/>
        <w:rPr>
          <w:rFonts w:ascii="宋体" w:hAnsi="宋体"/>
          <w:sz w:val="22"/>
          <w:szCs w:val="22"/>
        </w:rPr>
      </w:pPr>
    </w:p>
    <w:p w14:paraId="198922B0">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2D97172B">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68AAE637">
      <w:pPr>
        <w:snapToGrid w:val="0"/>
        <w:spacing w:before="50" w:after="50" w:line="300" w:lineRule="auto"/>
        <w:ind w:left="-6" w:leftChars="-15" w:right="-817" w:rightChars="-389" w:hanging="25" w:hangingChars="12"/>
        <w:jc w:val="left"/>
        <w:rPr>
          <w:rFonts w:ascii="宋体" w:hAnsi="宋体"/>
          <w:b/>
          <w:sz w:val="28"/>
          <w:szCs w:val="28"/>
        </w:rPr>
      </w:pPr>
      <w:r>
        <w:rPr>
          <w:rFonts w:hint="eastAsia" w:ascii="宋体" w:hAnsi="宋体"/>
          <w:b/>
          <w:bCs/>
          <w:szCs w:val="21"/>
        </w:rPr>
        <w:t>日期：    年   月   日</w:t>
      </w:r>
    </w:p>
    <w:p w14:paraId="62949D65">
      <w:pPr>
        <w:snapToGrid w:val="0"/>
        <w:spacing w:line="360" w:lineRule="auto"/>
        <w:jc w:val="center"/>
        <w:rPr>
          <w:rFonts w:ascii="宋体" w:hAnsi="宋体"/>
          <w:b/>
          <w:sz w:val="32"/>
          <w:szCs w:val="32"/>
        </w:rPr>
      </w:pPr>
    </w:p>
    <w:p w14:paraId="636CD422">
      <w:pPr>
        <w:snapToGrid w:val="0"/>
        <w:spacing w:line="360" w:lineRule="auto"/>
        <w:jc w:val="center"/>
        <w:rPr>
          <w:rFonts w:ascii="宋体" w:hAnsi="宋体"/>
          <w:sz w:val="32"/>
          <w:szCs w:val="32"/>
        </w:rPr>
      </w:pPr>
      <w:r>
        <w:rPr>
          <w:rFonts w:hint="eastAsia" w:ascii="宋体" w:hAnsi="宋体"/>
          <w:b/>
          <w:sz w:val="32"/>
          <w:szCs w:val="32"/>
        </w:rPr>
        <w:br w:type="page"/>
      </w:r>
      <w:r>
        <w:rPr>
          <w:rFonts w:hint="eastAsia" w:ascii="宋体" w:hAnsi="宋体"/>
          <w:b/>
          <w:sz w:val="32"/>
          <w:szCs w:val="32"/>
        </w:rPr>
        <w:t>投标人直接管理关系信息表</w:t>
      </w:r>
    </w:p>
    <w:tbl>
      <w:tblPr>
        <w:tblStyle w:val="25"/>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BA3DF4D">
        <w:tblPrEx>
          <w:tblCellMar>
            <w:top w:w="0" w:type="dxa"/>
            <w:left w:w="0" w:type="dxa"/>
            <w:bottom w:w="0" w:type="dxa"/>
            <w:right w:w="0" w:type="dxa"/>
          </w:tblCellMar>
        </w:tblPrEx>
        <w:trPr>
          <w:trHeight w:val="397" w:hRule="exact"/>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5C2E482">
            <w:pPr>
              <w:spacing w:line="360" w:lineRule="auto"/>
              <w:jc w:val="center"/>
              <w:rPr>
                <w:rFonts w:ascii="宋体" w:hAnsi="宋体" w:cs="宋体"/>
                <w:b/>
                <w:bCs/>
                <w:kern w:val="0"/>
                <w:sz w:val="24"/>
              </w:rPr>
            </w:pPr>
            <w:r>
              <w:rPr>
                <w:rFonts w:hint="eastAsia" w:ascii="宋体" w:hAnsi="宋体" w:cs="宋体"/>
                <w:b/>
                <w:bCs/>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A85639">
            <w:pPr>
              <w:spacing w:line="360" w:lineRule="auto"/>
              <w:jc w:val="center"/>
              <w:rPr>
                <w:rFonts w:ascii="宋体" w:hAnsi="宋体" w:cs="宋体"/>
                <w:b/>
                <w:bCs/>
                <w:kern w:val="0"/>
                <w:sz w:val="24"/>
              </w:rPr>
            </w:pPr>
            <w:r>
              <w:rPr>
                <w:rFonts w:hint="eastAsia" w:ascii="宋体" w:hAnsi="宋体" w:cs="宋体"/>
                <w:b/>
                <w:bCs/>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DDDC0FE">
            <w:pPr>
              <w:spacing w:line="360" w:lineRule="auto"/>
              <w:jc w:val="center"/>
              <w:rPr>
                <w:rFonts w:ascii="宋体" w:hAnsi="宋体" w:cs="宋体"/>
                <w:b/>
                <w:bCs/>
                <w:kern w:val="0"/>
                <w:sz w:val="24"/>
              </w:rPr>
            </w:pPr>
            <w:r>
              <w:rPr>
                <w:rFonts w:hint="eastAsia" w:ascii="宋体" w:hAnsi="宋体" w:cs="宋体"/>
                <w:b/>
                <w:bCs/>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4658957">
            <w:pPr>
              <w:spacing w:line="360" w:lineRule="auto"/>
              <w:jc w:val="center"/>
              <w:rPr>
                <w:rFonts w:ascii="宋体" w:hAnsi="宋体" w:cs="宋体"/>
                <w:b/>
                <w:bCs/>
                <w:kern w:val="0"/>
                <w:sz w:val="24"/>
              </w:rPr>
            </w:pPr>
            <w:r>
              <w:rPr>
                <w:rFonts w:hint="eastAsia" w:ascii="宋体" w:hAnsi="宋体" w:cs="宋体"/>
                <w:b/>
                <w:bCs/>
                <w:kern w:val="0"/>
                <w:sz w:val="24"/>
              </w:rPr>
              <w:t>备注</w:t>
            </w:r>
          </w:p>
        </w:tc>
      </w:tr>
      <w:tr w14:paraId="469D6368">
        <w:tblPrEx>
          <w:tblCellMar>
            <w:top w:w="0" w:type="dxa"/>
            <w:left w:w="0" w:type="dxa"/>
            <w:bottom w:w="0" w:type="dxa"/>
            <w:right w:w="0" w:type="dxa"/>
          </w:tblCellMar>
        </w:tblPrEx>
        <w:trPr>
          <w:trHeight w:val="397" w:hRule="exact"/>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1B0402">
            <w:pPr>
              <w:spacing w:line="360" w:lineRule="auto"/>
              <w:jc w:val="center"/>
              <w:rPr>
                <w:rFonts w:ascii="宋体" w:hAnsi="宋体" w:cs="宋体"/>
                <w:kern w:val="0"/>
                <w:sz w:val="24"/>
              </w:rPr>
            </w:pPr>
            <w:r>
              <w:rPr>
                <w:rFonts w:hint="eastAsia" w:ascii="宋体" w:hAnsi="宋体" w:cs="宋体"/>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EF39F4">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8294F4">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249E25">
            <w:pPr>
              <w:spacing w:line="360" w:lineRule="auto"/>
              <w:jc w:val="center"/>
              <w:rPr>
                <w:rFonts w:ascii="宋体" w:hAnsi="宋体" w:cs="宋体"/>
                <w:kern w:val="0"/>
                <w:sz w:val="24"/>
              </w:rPr>
            </w:pPr>
          </w:p>
        </w:tc>
      </w:tr>
      <w:tr w14:paraId="7FA0A956">
        <w:tblPrEx>
          <w:tblCellMar>
            <w:top w:w="0" w:type="dxa"/>
            <w:left w:w="0" w:type="dxa"/>
            <w:bottom w:w="0" w:type="dxa"/>
            <w:right w:w="0" w:type="dxa"/>
          </w:tblCellMar>
        </w:tblPrEx>
        <w:trPr>
          <w:trHeight w:val="397" w:hRule="exact"/>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811A64">
            <w:pPr>
              <w:spacing w:line="360" w:lineRule="auto"/>
              <w:jc w:val="center"/>
              <w:rPr>
                <w:rFonts w:ascii="宋体" w:hAnsi="宋体" w:cs="宋体"/>
                <w:kern w:val="0"/>
                <w:sz w:val="24"/>
              </w:rPr>
            </w:pPr>
            <w:r>
              <w:rPr>
                <w:rFonts w:hint="eastAsia" w:ascii="宋体" w:hAnsi="宋体" w:cs="宋体"/>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56C677">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522A38">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E636881">
            <w:pPr>
              <w:spacing w:line="360" w:lineRule="auto"/>
              <w:jc w:val="center"/>
              <w:rPr>
                <w:rFonts w:ascii="宋体" w:hAnsi="宋体" w:cs="宋体"/>
                <w:kern w:val="0"/>
                <w:sz w:val="24"/>
              </w:rPr>
            </w:pPr>
          </w:p>
        </w:tc>
      </w:tr>
      <w:tr w14:paraId="0AA3BA69">
        <w:tblPrEx>
          <w:shd w:val="clear" w:color="auto" w:fill="FBFBFB"/>
          <w:tblCellMar>
            <w:top w:w="0" w:type="dxa"/>
            <w:left w:w="0" w:type="dxa"/>
            <w:bottom w:w="0" w:type="dxa"/>
            <w:right w:w="0" w:type="dxa"/>
          </w:tblCellMar>
        </w:tblPrEx>
        <w:trPr>
          <w:trHeight w:val="397" w:hRule="exact"/>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E974EB">
            <w:pPr>
              <w:spacing w:line="360" w:lineRule="auto"/>
              <w:jc w:val="center"/>
              <w:rPr>
                <w:rFonts w:ascii="宋体" w:hAnsi="宋体" w:cs="宋体"/>
                <w:kern w:val="0"/>
                <w:sz w:val="24"/>
              </w:rPr>
            </w:pPr>
            <w:r>
              <w:rPr>
                <w:rFonts w:hint="eastAsia" w:ascii="宋体" w:hAnsi="宋体" w:cs="宋体"/>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B90FDF">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5B41A4">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CB0B1D">
            <w:pPr>
              <w:spacing w:line="360" w:lineRule="auto"/>
              <w:jc w:val="center"/>
              <w:rPr>
                <w:rFonts w:ascii="宋体" w:hAnsi="宋体" w:cs="宋体"/>
                <w:kern w:val="0"/>
                <w:sz w:val="24"/>
              </w:rPr>
            </w:pPr>
          </w:p>
        </w:tc>
      </w:tr>
    </w:tbl>
    <w:p w14:paraId="5889BFFF">
      <w:pPr>
        <w:snapToGrid w:val="0"/>
        <w:spacing w:line="300" w:lineRule="auto"/>
        <w:jc w:val="left"/>
        <w:rPr>
          <w:rFonts w:ascii="宋体" w:hAnsi="宋体"/>
          <w:sz w:val="24"/>
        </w:rPr>
      </w:pPr>
      <w:r>
        <w:rPr>
          <w:rFonts w:hint="eastAsia" w:ascii="宋体" w:hAnsi="宋体"/>
          <w:sz w:val="24"/>
        </w:rPr>
        <w:t>注：</w:t>
      </w:r>
    </w:p>
    <w:p w14:paraId="07C62B34">
      <w:pPr>
        <w:snapToGrid w:val="0"/>
        <w:spacing w:line="300" w:lineRule="auto"/>
        <w:ind w:firstLine="480" w:firstLineChars="200"/>
        <w:jc w:val="left"/>
        <w:rPr>
          <w:rFonts w:ascii="宋体" w:hAnsi="宋体"/>
          <w:sz w:val="24"/>
        </w:rPr>
      </w:pPr>
      <w:r>
        <w:rPr>
          <w:rFonts w:hint="eastAsia" w:ascii="宋体" w:hAnsi="宋体"/>
          <w:sz w:val="24"/>
        </w:rPr>
        <w:t>1.管理关系：是指不具有出资持股关系的其他单位之间存在的管理与被管理关系，如一些上下级关系的事业单位和团体组织。</w:t>
      </w:r>
    </w:p>
    <w:p w14:paraId="7CDD42E3">
      <w:pPr>
        <w:snapToGrid w:val="0"/>
        <w:spacing w:line="300" w:lineRule="auto"/>
        <w:ind w:firstLine="480" w:firstLineChars="200"/>
        <w:jc w:val="left"/>
        <w:rPr>
          <w:rFonts w:ascii="宋体" w:hAnsi="宋体"/>
          <w:sz w:val="24"/>
        </w:rPr>
      </w:pPr>
      <w:r>
        <w:rPr>
          <w:rFonts w:hint="eastAsia" w:ascii="宋体" w:hAnsi="宋体"/>
          <w:sz w:val="24"/>
        </w:rPr>
        <w:t>2.</w:t>
      </w:r>
      <w:r>
        <w:rPr>
          <w:rFonts w:hint="eastAsia" w:ascii="宋体" w:hAnsi="宋体"/>
          <w:spacing w:val="-6"/>
          <w:sz w:val="24"/>
        </w:rPr>
        <w:t>本表所指的管理关系仅限于直接管理关系，不包括间接的管理关系。</w:t>
      </w:r>
    </w:p>
    <w:p w14:paraId="5476EAF4">
      <w:pPr>
        <w:snapToGrid w:val="0"/>
        <w:spacing w:line="300" w:lineRule="auto"/>
        <w:ind w:firstLine="480" w:firstLineChars="200"/>
        <w:jc w:val="left"/>
        <w:rPr>
          <w:rFonts w:ascii="宋体" w:hAnsi="宋体"/>
          <w:sz w:val="24"/>
        </w:rPr>
      </w:pPr>
      <w:r>
        <w:rPr>
          <w:rFonts w:hint="eastAsia" w:ascii="宋体" w:hAnsi="宋体"/>
          <w:sz w:val="24"/>
        </w:rPr>
        <w:t>3.供应商不存在直接管理关系的，则填“无”。</w:t>
      </w:r>
    </w:p>
    <w:p w14:paraId="21E789B3">
      <w:pPr>
        <w:snapToGrid w:val="0"/>
        <w:spacing w:before="50" w:after="50" w:line="300" w:lineRule="auto"/>
        <w:ind w:left="-6" w:leftChars="-15" w:right="-817" w:rightChars="-389" w:hanging="25" w:hangingChars="12"/>
        <w:jc w:val="left"/>
        <w:rPr>
          <w:rFonts w:ascii="宋体" w:hAnsi="宋体"/>
          <w:b/>
          <w:bCs/>
          <w:szCs w:val="21"/>
        </w:rPr>
      </w:pPr>
    </w:p>
    <w:p w14:paraId="0E2402C7">
      <w:pPr>
        <w:snapToGrid w:val="0"/>
        <w:spacing w:before="50" w:after="50" w:line="300" w:lineRule="auto"/>
        <w:ind w:left="-6" w:leftChars="-15" w:right="-817" w:rightChars="-389" w:hanging="25" w:hangingChars="12"/>
        <w:jc w:val="left"/>
        <w:rPr>
          <w:rFonts w:ascii="宋体" w:hAnsi="宋体"/>
          <w:b/>
          <w:bCs/>
          <w:szCs w:val="21"/>
        </w:rPr>
      </w:pPr>
    </w:p>
    <w:p w14:paraId="6E17529F">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437B07FE">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30C48A9B">
      <w:pPr>
        <w:snapToGrid w:val="0"/>
        <w:spacing w:before="50" w:after="50" w:line="300" w:lineRule="auto"/>
        <w:ind w:left="-6" w:leftChars="-15" w:right="-817" w:rightChars="-389" w:hanging="25" w:hangingChars="12"/>
        <w:rPr>
          <w:rFonts w:ascii="宋体" w:hAnsi="宋体"/>
          <w:b/>
          <w:sz w:val="24"/>
          <w:szCs w:val="20"/>
        </w:rPr>
      </w:pPr>
      <w:r>
        <w:rPr>
          <w:rFonts w:hint="eastAsia" w:ascii="宋体" w:hAnsi="宋体"/>
          <w:b/>
          <w:bCs/>
          <w:szCs w:val="21"/>
        </w:rPr>
        <w:t>日期：    年   月   日</w:t>
      </w:r>
    </w:p>
    <w:p w14:paraId="4B9973A8">
      <w:pPr>
        <w:snapToGrid w:val="0"/>
        <w:spacing w:beforeLines="50" w:after="50"/>
        <w:jc w:val="left"/>
        <w:rPr>
          <w:rFonts w:ascii="宋体" w:hAnsi="宋体"/>
          <w:b/>
          <w:sz w:val="24"/>
          <w:szCs w:val="20"/>
        </w:rPr>
      </w:pPr>
      <w:r>
        <w:rPr>
          <w:rFonts w:ascii="宋体" w:hAnsi="宋体"/>
          <w:b/>
          <w:sz w:val="24"/>
        </w:rPr>
        <w:br w:type="page"/>
      </w:r>
      <w:r>
        <w:rPr>
          <w:rFonts w:hint="eastAsia" w:ascii="宋体" w:hAnsi="宋体"/>
          <w:b/>
          <w:sz w:val="24"/>
        </w:rPr>
        <w:t>6.投标声明</w:t>
      </w:r>
    </w:p>
    <w:p w14:paraId="03AFFD24">
      <w:pPr>
        <w:snapToGrid w:val="0"/>
        <w:spacing w:before="50" w:afterLines="50"/>
        <w:jc w:val="left"/>
        <w:rPr>
          <w:rFonts w:ascii="宋体" w:hAnsi="宋体"/>
        </w:rPr>
      </w:pPr>
    </w:p>
    <w:p w14:paraId="77BDF06D">
      <w:pPr>
        <w:snapToGrid w:val="0"/>
        <w:spacing w:before="50" w:afterLines="50"/>
        <w:jc w:val="center"/>
        <w:rPr>
          <w:rFonts w:ascii="宋体" w:hAnsi="宋体"/>
          <w:b/>
          <w:sz w:val="24"/>
        </w:rPr>
      </w:pPr>
      <w:r>
        <w:rPr>
          <w:rFonts w:hint="eastAsia" w:ascii="宋体" w:hAnsi="宋体"/>
          <w:b/>
          <w:sz w:val="24"/>
        </w:rPr>
        <w:t>投标声明</w:t>
      </w:r>
    </w:p>
    <w:p w14:paraId="212E99E0">
      <w:pPr>
        <w:snapToGrid w:val="0"/>
        <w:spacing w:before="50" w:afterLines="50" w:line="360" w:lineRule="auto"/>
        <w:jc w:val="left"/>
        <w:rPr>
          <w:szCs w:val="21"/>
        </w:rPr>
      </w:pPr>
      <w:r>
        <w:rPr>
          <w:rFonts w:hint="eastAsia"/>
          <w:szCs w:val="21"/>
        </w:rPr>
        <w:t>（采购人名称）：</w:t>
      </w:r>
    </w:p>
    <w:p w14:paraId="71773931">
      <w:pPr>
        <w:snapToGrid w:val="0"/>
        <w:spacing w:before="50" w:afterLines="50" w:line="360" w:lineRule="auto"/>
        <w:ind w:firstLine="405"/>
        <w:jc w:val="left"/>
        <w:rPr>
          <w:rFonts w:ascii="宋体" w:hAnsi="宋体"/>
          <w:szCs w:val="21"/>
        </w:rPr>
      </w:pPr>
      <w:r>
        <w:rPr>
          <w:rFonts w:hint="eastAsia" w:ascii="宋体" w:hAnsi="宋体"/>
          <w:szCs w:val="21"/>
        </w:rPr>
        <w:t>我方参加贵单位组织项目（项目编号：</w:t>
      </w:r>
      <w:r>
        <w:rPr>
          <w:rFonts w:hint="eastAsia" w:ascii="宋体" w:hAnsi="宋体" w:cs="宋体"/>
          <w:szCs w:val="21"/>
        </w:rPr>
        <w:t>标项：</w:t>
      </w:r>
      <w:r>
        <w:rPr>
          <w:rFonts w:hint="eastAsia" w:ascii="宋体" w:hAnsi="宋体"/>
          <w:szCs w:val="21"/>
        </w:rPr>
        <w:t>）的政府采购活动。我方在此郑重声明：</w:t>
      </w:r>
    </w:p>
    <w:p w14:paraId="0B1C170F">
      <w:pPr>
        <w:snapToGrid w:val="0"/>
        <w:spacing w:before="50" w:afterLines="50" w:line="324" w:lineRule="auto"/>
        <w:ind w:firstLine="420" w:firstLineChars="200"/>
        <w:jc w:val="left"/>
        <w:rPr>
          <w:rFonts w:ascii="宋体" w:hAnsi="宋体"/>
          <w:szCs w:val="21"/>
        </w:rPr>
      </w:pPr>
      <w:r>
        <w:rPr>
          <w:rFonts w:hint="eastAsia" w:ascii="宋体" w:hAnsi="宋体"/>
          <w:szCs w:val="21"/>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6FB1C9F">
      <w:pPr>
        <w:snapToGrid w:val="0"/>
        <w:spacing w:before="50" w:afterLines="50" w:line="324" w:lineRule="auto"/>
        <w:ind w:firstLine="420" w:firstLineChars="200"/>
        <w:jc w:val="left"/>
        <w:rPr>
          <w:rFonts w:ascii="宋体" w:hAnsi="宋体"/>
          <w:szCs w:val="21"/>
        </w:rPr>
      </w:pPr>
      <w:r>
        <w:rPr>
          <w:rFonts w:hint="eastAsia" w:ascii="宋体" w:hAnsi="宋体"/>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14CC5BA">
      <w:pPr>
        <w:snapToGrid w:val="0"/>
        <w:spacing w:before="50" w:afterLines="50" w:line="324" w:lineRule="auto"/>
        <w:ind w:firstLine="420" w:firstLineChars="200"/>
        <w:jc w:val="left"/>
        <w:rPr>
          <w:rFonts w:ascii="宋体" w:hAnsi="宋体"/>
          <w:szCs w:val="21"/>
        </w:rPr>
      </w:pPr>
      <w:r>
        <w:rPr>
          <w:rFonts w:hint="eastAsia" w:ascii="宋体" w:hAnsi="宋体"/>
          <w:szCs w:val="21"/>
        </w:rPr>
        <w:t>3.我方承诺符合《中华人民共和国政府采购法》第二十二条规定：</w:t>
      </w:r>
    </w:p>
    <w:p w14:paraId="3D1DA0EA">
      <w:pPr>
        <w:snapToGrid w:val="0"/>
        <w:spacing w:before="50" w:afterLines="50" w:line="324" w:lineRule="auto"/>
        <w:ind w:firstLine="420" w:firstLineChars="200"/>
        <w:jc w:val="left"/>
        <w:rPr>
          <w:rFonts w:ascii="宋体" w:hAnsi="宋体"/>
          <w:szCs w:val="21"/>
        </w:rPr>
      </w:pPr>
      <w:r>
        <w:rPr>
          <w:rFonts w:hint="eastAsia" w:ascii="宋体" w:hAnsi="宋体"/>
          <w:szCs w:val="21"/>
        </w:rPr>
        <w:t>（一）具有独立承担民事责任的能力；</w:t>
      </w:r>
    </w:p>
    <w:p w14:paraId="3ABC528F">
      <w:pPr>
        <w:snapToGrid w:val="0"/>
        <w:spacing w:before="50" w:afterLines="50" w:line="324" w:lineRule="auto"/>
        <w:ind w:firstLine="420" w:firstLineChars="200"/>
        <w:jc w:val="left"/>
        <w:rPr>
          <w:rFonts w:ascii="宋体" w:hAnsi="宋体"/>
          <w:szCs w:val="21"/>
        </w:rPr>
      </w:pPr>
      <w:r>
        <w:rPr>
          <w:rFonts w:hint="eastAsia" w:ascii="宋体" w:hAnsi="宋体"/>
          <w:szCs w:val="21"/>
        </w:rPr>
        <w:t>（二）具有良好的商业信誉和健全的财务会计制度；</w:t>
      </w:r>
    </w:p>
    <w:p w14:paraId="784CDC5A">
      <w:pPr>
        <w:snapToGrid w:val="0"/>
        <w:spacing w:before="50" w:afterLines="50" w:line="324" w:lineRule="auto"/>
        <w:ind w:firstLine="420" w:firstLineChars="200"/>
        <w:jc w:val="left"/>
        <w:rPr>
          <w:rFonts w:ascii="宋体" w:hAnsi="宋体"/>
          <w:szCs w:val="21"/>
        </w:rPr>
      </w:pPr>
      <w:r>
        <w:rPr>
          <w:rFonts w:hint="eastAsia" w:ascii="宋体" w:hAnsi="宋体"/>
          <w:szCs w:val="21"/>
        </w:rPr>
        <w:t>（三）具有履行合同所必需的设备和专业技术能力；</w:t>
      </w:r>
    </w:p>
    <w:p w14:paraId="63FE3212">
      <w:pPr>
        <w:snapToGrid w:val="0"/>
        <w:spacing w:before="50" w:afterLines="50" w:line="324" w:lineRule="auto"/>
        <w:ind w:firstLine="420" w:firstLineChars="200"/>
        <w:jc w:val="left"/>
        <w:rPr>
          <w:rFonts w:ascii="宋体" w:hAnsi="宋体"/>
          <w:szCs w:val="21"/>
        </w:rPr>
      </w:pPr>
      <w:r>
        <w:rPr>
          <w:rFonts w:hint="eastAsia" w:ascii="宋体" w:hAnsi="宋体"/>
          <w:szCs w:val="21"/>
        </w:rPr>
        <w:t>（四）有依法缴纳税收和社会保障资金的良好记录；</w:t>
      </w:r>
    </w:p>
    <w:p w14:paraId="3AE147E5">
      <w:pPr>
        <w:snapToGrid w:val="0"/>
        <w:spacing w:before="50" w:afterLines="50" w:line="324" w:lineRule="auto"/>
        <w:ind w:firstLine="420" w:firstLineChars="200"/>
        <w:jc w:val="left"/>
        <w:rPr>
          <w:rFonts w:ascii="宋体" w:hAnsi="宋体"/>
          <w:szCs w:val="21"/>
        </w:rPr>
      </w:pPr>
      <w:r>
        <w:rPr>
          <w:rFonts w:hint="eastAsia" w:ascii="宋体" w:hAnsi="宋体"/>
          <w:szCs w:val="21"/>
        </w:rPr>
        <w:t>（五）参加政府采购活动前三年内，在经营活动中没有重大违法记录；</w:t>
      </w:r>
    </w:p>
    <w:p w14:paraId="35BA2734">
      <w:pPr>
        <w:snapToGrid w:val="0"/>
        <w:spacing w:before="50" w:afterLines="50" w:line="324" w:lineRule="auto"/>
        <w:ind w:firstLine="420" w:firstLineChars="200"/>
        <w:jc w:val="left"/>
        <w:rPr>
          <w:rFonts w:ascii="宋体" w:hAnsi="宋体"/>
          <w:szCs w:val="21"/>
        </w:rPr>
      </w:pPr>
      <w:r>
        <w:rPr>
          <w:rFonts w:hint="eastAsia" w:ascii="宋体" w:hAnsi="宋体"/>
          <w:szCs w:val="21"/>
        </w:rPr>
        <w:t>（六）法律、行政法规规定的其他条件。</w:t>
      </w:r>
    </w:p>
    <w:p w14:paraId="63AA838F">
      <w:pPr>
        <w:snapToGrid w:val="0"/>
        <w:spacing w:before="50" w:afterLines="50" w:line="324" w:lineRule="auto"/>
        <w:ind w:firstLine="420" w:firstLineChars="200"/>
        <w:jc w:val="left"/>
        <w:rPr>
          <w:rFonts w:ascii="宋体" w:hAnsi="宋体"/>
          <w:szCs w:val="21"/>
        </w:rPr>
      </w:pPr>
      <w:r>
        <w:rPr>
          <w:rFonts w:hint="eastAsia" w:ascii="宋体" w:hAnsi="宋体"/>
          <w:szCs w:val="21"/>
        </w:rPr>
        <w:t>4.以上事项如有虚假或者隐瞒，我方愿意承担一切后果，并不再寻求任何旨在减轻或者免除法律责任的辩解。</w:t>
      </w:r>
    </w:p>
    <w:p w14:paraId="576ED220">
      <w:pPr>
        <w:snapToGrid w:val="0"/>
        <w:spacing w:before="50" w:afterLines="50" w:line="324" w:lineRule="auto"/>
        <w:jc w:val="left"/>
        <w:rPr>
          <w:rFonts w:ascii="宋体" w:hAnsi="宋体"/>
          <w:szCs w:val="21"/>
        </w:rPr>
      </w:pPr>
      <w:r>
        <w:rPr>
          <w:rFonts w:hint="eastAsia" w:ascii="宋体" w:hAnsi="宋体"/>
          <w:szCs w:val="21"/>
        </w:rPr>
        <w:t xml:space="preserve">    特此承诺。</w:t>
      </w:r>
    </w:p>
    <w:p w14:paraId="7ABD3B94">
      <w:pPr>
        <w:snapToGrid w:val="0"/>
        <w:spacing w:before="50" w:afterLines="50" w:line="360" w:lineRule="auto"/>
        <w:jc w:val="left"/>
        <w:rPr>
          <w:rFonts w:ascii="宋体" w:hAnsi="宋体"/>
          <w:b/>
          <w:szCs w:val="21"/>
        </w:rPr>
      </w:pPr>
      <w:r>
        <w:rPr>
          <w:rFonts w:hint="eastAsia" w:ascii="宋体" w:hAnsi="宋体"/>
          <w:b/>
          <w:szCs w:val="21"/>
        </w:rPr>
        <w:t>注：如为联合体投标，盖章处须加盖联合体各方公章并由联合体各方法定代表人分别</w:t>
      </w:r>
    </w:p>
    <w:p w14:paraId="7E1BD65F">
      <w:pPr>
        <w:snapToGrid w:val="0"/>
        <w:spacing w:before="50" w:afterLines="50" w:line="360" w:lineRule="auto"/>
        <w:jc w:val="left"/>
        <w:rPr>
          <w:rFonts w:ascii="宋体" w:hAnsi="宋体"/>
          <w:b/>
          <w:szCs w:val="21"/>
        </w:rPr>
      </w:pPr>
      <w:r>
        <w:rPr>
          <w:rFonts w:hint="eastAsia" w:ascii="宋体" w:hAnsi="宋体"/>
          <w:b/>
          <w:szCs w:val="21"/>
        </w:rPr>
        <w:t>签署，否则投标无效。</w:t>
      </w:r>
    </w:p>
    <w:p w14:paraId="58143515">
      <w:pPr>
        <w:snapToGrid w:val="0"/>
        <w:spacing w:before="50" w:after="50" w:line="300" w:lineRule="auto"/>
        <w:ind w:left="-6" w:leftChars="-15" w:right="-817" w:rightChars="-389" w:hanging="25" w:hangingChars="12"/>
        <w:jc w:val="left"/>
        <w:rPr>
          <w:rFonts w:ascii="宋体" w:hAnsi="宋体"/>
          <w:b/>
          <w:bCs/>
          <w:szCs w:val="21"/>
        </w:rPr>
      </w:pPr>
    </w:p>
    <w:p w14:paraId="176F31A4">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164196A9">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4A5D072E">
      <w:pPr>
        <w:snapToGrid w:val="0"/>
        <w:spacing w:before="50" w:after="50" w:line="300" w:lineRule="auto"/>
        <w:ind w:left="-6" w:leftChars="-15" w:right="-817" w:rightChars="-389" w:hanging="25" w:hangingChars="12"/>
        <w:jc w:val="left"/>
        <w:rPr>
          <w:rFonts w:ascii="宋体" w:hAnsi="宋体"/>
          <w:sz w:val="20"/>
          <w:szCs w:val="22"/>
        </w:rPr>
      </w:pPr>
      <w:r>
        <w:rPr>
          <w:rFonts w:hint="eastAsia" w:ascii="宋体" w:hAnsi="宋体"/>
          <w:b/>
          <w:bCs/>
          <w:szCs w:val="21"/>
        </w:rPr>
        <w:t>日期：    年   月   日</w:t>
      </w:r>
    </w:p>
    <w:p w14:paraId="300263E9">
      <w:pPr>
        <w:snapToGrid w:val="0"/>
        <w:spacing w:before="50" w:afterLines="50"/>
        <w:jc w:val="left"/>
        <w:rPr>
          <w:rFonts w:ascii="宋体" w:hAnsi="宋体"/>
          <w:sz w:val="22"/>
          <w:szCs w:val="22"/>
        </w:rPr>
      </w:pPr>
    </w:p>
    <w:p w14:paraId="43EF5401">
      <w:pPr>
        <w:snapToGrid w:val="0"/>
        <w:spacing w:beforeLines="50" w:after="50" w:line="360" w:lineRule="auto"/>
        <w:jc w:val="center"/>
        <w:outlineLvl w:val="1"/>
        <w:rPr>
          <w:rFonts w:ascii="宋体" w:hAnsi="宋体"/>
          <w:b/>
          <w:bCs/>
          <w:sz w:val="28"/>
          <w:szCs w:val="28"/>
        </w:rPr>
      </w:pPr>
      <w:r>
        <w:rPr>
          <w:rFonts w:ascii="宋体" w:hAnsi="宋体"/>
          <w:sz w:val="22"/>
          <w:szCs w:val="22"/>
        </w:rPr>
        <w:br w:type="page"/>
      </w:r>
      <w:bookmarkStart w:id="165" w:name="_Toc19686838"/>
      <w:bookmarkStart w:id="166" w:name="_Toc5155"/>
      <w:r>
        <w:rPr>
          <w:rFonts w:hint="eastAsia" w:ascii="宋体" w:hAnsi="宋体"/>
          <w:b/>
          <w:bCs/>
          <w:sz w:val="28"/>
          <w:szCs w:val="28"/>
        </w:rPr>
        <w:t>第四节 商务技术文件格式</w:t>
      </w:r>
      <w:bookmarkEnd w:id="165"/>
      <w:bookmarkEnd w:id="166"/>
    </w:p>
    <w:p w14:paraId="7163197E">
      <w:pPr>
        <w:snapToGrid w:val="0"/>
        <w:spacing w:beforeLines="50" w:after="50"/>
        <w:rPr>
          <w:rFonts w:ascii="宋体" w:hAnsi="宋体"/>
          <w:sz w:val="24"/>
        </w:rPr>
      </w:pPr>
    </w:p>
    <w:p w14:paraId="4FAE1BBD">
      <w:pPr>
        <w:pStyle w:val="12"/>
        <w:rPr>
          <w:rFonts w:ascii="宋体" w:hAnsi="宋体"/>
        </w:rPr>
      </w:pPr>
    </w:p>
    <w:p w14:paraId="3BD3F624">
      <w:pPr>
        <w:rPr>
          <w:rFonts w:ascii="宋体" w:hAnsi="宋体"/>
          <w:sz w:val="24"/>
        </w:rPr>
      </w:pPr>
    </w:p>
    <w:p w14:paraId="683443BE">
      <w:pPr>
        <w:pStyle w:val="12"/>
        <w:rPr>
          <w:rFonts w:ascii="宋体" w:hAnsi="宋体"/>
        </w:rPr>
      </w:pPr>
    </w:p>
    <w:p w14:paraId="779D4A0C"/>
    <w:p w14:paraId="48D35962">
      <w:pPr>
        <w:snapToGrid w:val="0"/>
        <w:spacing w:beforeLines="50" w:after="50"/>
        <w:rPr>
          <w:rFonts w:ascii="宋体" w:hAnsi="宋体"/>
          <w:bCs/>
          <w:sz w:val="32"/>
          <w:szCs w:val="20"/>
        </w:rPr>
      </w:pPr>
      <w:r>
        <w:rPr>
          <w:rFonts w:hint="eastAsia" w:ascii="宋体" w:hAnsi="宋体" w:cs="宋体"/>
          <w:bCs/>
        </w:rPr>
        <w:t>电子投标文件</w:t>
      </w:r>
    </w:p>
    <w:p w14:paraId="60C3086E">
      <w:pPr>
        <w:snapToGrid w:val="0"/>
        <w:spacing w:beforeLines="50" w:after="50"/>
        <w:rPr>
          <w:rFonts w:ascii="宋体" w:hAnsi="宋体"/>
          <w:sz w:val="24"/>
          <w:szCs w:val="20"/>
        </w:rPr>
      </w:pPr>
    </w:p>
    <w:p w14:paraId="744D2A44">
      <w:pPr>
        <w:pStyle w:val="12"/>
        <w:rPr>
          <w:rFonts w:ascii="宋体" w:hAnsi="宋体"/>
          <w:szCs w:val="20"/>
        </w:rPr>
      </w:pPr>
    </w:p>
    <w:p w14:paraId="5799CB49"/>
    <w:p w14:paraId="36DC481E">
      <w:pPr>
        <w:snapToGrid w:val="0"/>
        <w:spacing w:beforeLines="50" w:after="50"/>
        <w:jc w:val="center"/>
        <w:rPr>
          <w:rFonts w:ascii="宋体" w:hAnsi="宋体"/>
          <w:b/>
          <w:sz w:val="24"/>
          <w:szCs w:val="20"/>
        </w:rPr>
      </w:pPr>
      <w:r>
        <w:rPr>
          <w:rFonts w:hint="eastAsia" w:ascii="宋体" w:hAnsi="宋体"/>
          <w:b/>
          <w:sz w:val="32"/>
          <w:szCs w:val="32"/>
        </w:rPr>
        <w:t>商务技术文件</w:t>
      </w:r>
    </w:p>
    <w:p w14:paraId="71473964">
      <w:pPr>
        <w:snapToGrid w:val="0"/>
        <w:spacing w:beforeLines="50" w:after="50"/>
        <w:rPr>
          <w:rFonts w:ascii="宋体" w:hAnsi="宋体"/>
          <w:bCs/>
          <w:sz w:val="24"/>
          <w:szCs w:val="20"/>
        </w:rPr>
      </w:pPr>
    </w:p>
    <w:p w14:paraId="564E4B13">
      <w:pPr>
        <w:snapToGrid w:val="0"/>
        <w:spacing w:beforeLines="50" w:after="50"/>
        <w:ind w:firstLine="540" w:firstLineChars="225"/>
        <w:rPr>
          <w:rFonts w:ascii="宋体" w:hAnsi="宋体"/>
          <w:bCs/>
          <w:sz w:val="24"/>
        </w:rPr>
      </w:pPr>
      <w:r>
        <w:rPr>
          <w:rFonts w:hint="eastAsia" w:ascii="宋体" w:hAnsi="宋体"/>
          <w:bCs/>
          <w:sz w:val="24"/>
        </w:rPr>
        <w:t>项目名称：</w:t>
      </w:r>
    </w:p>
    <w:p w14:paraId="535DA83A">
      <w:pPr>
        <w:snapToGrid w:val="0"/>
        <w:spacing w:beforeLines="50" w:after="50"/>
        <w:ind w:firstLine="540" w:firstLineChars="225"/>
        <w:rPr>
          <w:rFonts w:ascii="宋体" w:hAnsi="宋体"/>
          <w:bCs/>
          <w:sz w:val="24"/>
          <w:szCs w:val="20"/>
        </w:rPr>
      </w:pPr>
    </w:p>
    <w:p w14:paraId="0379CBE5">
      <w:pPr>
        <w:snapToGrid w:val="0"/>
        <w:spacing w:beforeLines="50" w:after="50"/>
        <w:ind w:firstLine="540" w:firstLineChars="225"/>
        <w:rPr>
          <w:rFonts w:ascii="宋体" w:hAnsi="宋体"/>
          <w:bCs/>
          <w:sz w:val="24"/>
        </w:rPr>
      </w:pPr>
      <w:r>
        <w:rPr>
          <w:rFonts w:hint="eastAsia" w:ascii="宋体" w:hAnsi="宋体"/>
          <w:bCs/>
          <w:sz w:val="24"/>
        </w:rPr>
        <w:t>项目编号：</w:t>
      </w:r>
    </w:p>
    <w:p w14:paraId="614EDD84">
      <w:pPr>
        <w:snapToGrid w:val="0"/>
        <w:spacing w:beforeLines="50" w:after="50"/>
        <w:ind w:firstLine="540" w:firstLineChars="225"/>
        <w:rPr>
          <w:rFonts w:ascii="宋体" w:hAnsi="宋体"/>
          <w:bCs/>
          <w:sz w:val="24"/>
          <w:szCs w:val="20"/>
        </w:rPr>
      </w:pPr>
    </w:p>
    <w:p w14:paraId="6FAA961B">
      <w:pPr>
        <w:snapToGrid w:val="0"/>
        <w:spacing w:beforeLines="50" w:after="50"/>
        <w:ind w:firstLine="540" w:firstLineChars="225"/>
        <w:rPr>
          <w:rFonts w:ascii="宋体" w:hAnsi="宋体"/>
          <w:bCs/>
          <w:sz w:val="24"/>
        </w:rPr>
      </w:pPr>
      <w:r>
        <w:rPr>
          <w:rFonts w:hint="eastAsia" w:ascii="宋体" w:hAnsi="宋体"/>
          <w:bCs/>
          <w:sz w:val="24"/>
        </w:rPr>
        <w:t>所投分标：</w:t>
      </w:r>
    </w:p>
    <w:p w14:paraId="79BCD43F">
      <w:pPr>
        <w:snapToGrid w:val="0"/>
        <w:spacing w:beforeLines="50" w:after="50"/>
        <w:ind w:firstLine="540" w:firstLineChars="225"/>
        <w:rPr>
          <w:rFonts w:ascii="宋体" w:hAnsi="宋体"/>
          <w:bCs/>
          <w:sz w:val="24"/>
          <w:szCs w:val="20"/>
        </w:rPr>
      </w:pPr>
    </w:p>
    <w:p w14:paraId="67E6B1C2">
      <w:pPr>
        <w:pStyle w:val="2"/>
        <w:snapToGrid w:val="0"/>
        <w:spacing w:before="50" w:after="50"/>
        <w:ind w:firstLine="540" w:firstLineChars="225"/>
        <w:rPr>
          <w:rFonts w:ascii="宋体" w:hAnsi="宋体"/>
          <w:bCs/>
          <w:sz w:val="24"/>
          <w:szCs w:val="24"/>
        </w:rPr>
      </w:pPr>
      <w:r>
        <w:rPr>
          <w:rFonts w:hint="eastAsia" w:ascii="宋体" w:hAnsi="宋体"/>
          <w:bCs/>
          <w:sz w:val="24"/>
          <w:szCs w:val="24"/>
        </w:rPr>
        <w:t>投标人名称：</w:t>
      </w:r>
    </w:p>
    <w:p w14:paraId="7E6B44CF">
      <w:pPr>
        <w:pStyle w:val="2"/>
        <w:snapToGrid w:val="0"/>
        <w:spacing w:before="50" w:after="50"/>
        <w:ind w:firstLine="540" w:firstLineChars="225"/>
        <w:rPr>
          <w:rFonts w:ascii="宋体" w:hAnsi="宋体"/>
          <w:bCs/>
          <w:sz w:val="24"/>
          <w:szCs w:val="24"/>
        </w:rPr>
      </w:pPr>
    </w:p>
    <w:p w14:paraId="5FB40E0A">
      <w:pPr>
        <w:pStyle w:val="2"/>
        <w:snapToGrid w:val="0"/>
        <w:spacing w:before="50" w:after="50"/>
        <w:ind w:firstLine="540" w:firstLineChars="225"/>
        <w:rPr>
          <w:rFonts w:ascii="宋体" w:hAnsi="宋体"/>
          <w:bCs/>
          <w:sz w:val="24"/>
          <w:szCs w:val="24"/>
        </w:rPr>
      </w:pPr>
      <w:r>
        <w:rPr>
          <w:rFonts w:hint="eastAsia" w:ascii="宋体" w:hAnsi="宋体"/>
          <w:bCs/>
          <w:sz w:val="24"/>
          <w:szCs w:val="24"/>
        </w:rPr>
        <w:t>投标人地址：</w:t>
      </w:r>
    </w:p>
    <w:p w14:paraId="0A61F0AF">
      <w:pPr>
        <w:pStyle w:val="2"/>
        <w:snapToGrid w:val="0"/>
        <w:spacing w:before="50" w:after="50"/>
        <w:ind w:firstLine="960" w:firstLineChars="400"/>
        <w:rPr>
          <w:rFonts w:ascii="宋体" w:hAnsi="宋体"/>
          <w:bCs/>
          <w:sz w:val="24"/>
          <w:szCs w:val="24"/>
        </w:rPr>
      </w:pPr>
    </w:p>
    <w:p w14:paraId="170EE87F">
      <w:pPr>
        <w:snapToGrid w:val="0"/>
        <w:spacing w:beforeLines="50" w:after="50"/>
        <w:ind w:firstLine="645"/>
        <w:rPr>
          <w:rFonts w:ascii="宋体" w:hAnsi="宋体"/>
          <w:sz w:val="24"/>
        </w:rPr>
      </w:pPr>
      <w:r>
        <w:rPr>
          <w:rFonts w:hint="eastAsia" w:ascii="宋体" w:hAnsi="宋体"/>
          <w:sz w:val="24"/>
        </w:rPr>
        <w:t xml:space="preserve">                        年  月  日</w:t>
      </w:r>
    </w:p>
    <w:p w14:paraId="7B30A87E">
      <w:pPr>
        <w:snapToGrid w:val="0"/>
        <w:spacing w:beforeLines="50" w:after="50"/>
        <w:rPr>
          <w:rFonts w:ascii="宋体" w:hAnsi="宋体"/>
          <w:sz w:val="24"/>
          <w:szCs w:val="20"/>
        </w:rPr>
      </w:pPr>
    </w:p>
    <w:p w14:paraId="413962D7">
      <w:pPr>
        <w:snapToGrid w:val="0"/>
        <w:spacing w:line="360" w:lineRule="auto"/>
        <w:jc w:val="center"/>
        <w:rPr>
          <w:rFonts w:ascii="宋体" w:hAnsi="宋体"/>
          <w:b/>
          <w:bCs/>
          <w:sz w:val="28"/>
          <w:szCs w:val="28"/>
        </w:rPr>
      </w:pPr>
      <w:r>
        <w:rPr>
          <w:rFonts w:ascii="宋体" w:hAnsi="宋体"/>
          <w:sz w:val="24"/>
          <w:szCs w:val="20"/>
        </w:rPr>
        <w:br w:type="page"/>
      </w:r>
      <w:r>
        <w:rPr>
          <w:rFonts w:hint="eastAsia" w:ascii="宋体" w:hAnsi="宋体"/>
          <w:b/>
          <w:bCs/>
          <w:sz w:val="28"/>
          <w:szCs w:val="28"/>
        </w:rPr>
        <w:t>商务技术文件目录</w:t>
      </w:r>
    </w:p>
    <w:p w14:paraId="2E52F165">
      <w:pPr>
        <w:snapToGrid w:val="0"/>
        <w:spacing w:before="50" w:afterLines="50" w:line="360" w:lineRule="auto"/>
        <w:jc w:val="center"/>
        <w:rPr>
          <w:rFonts w:ascii="微软雅黑" w:hAnsi="微软雅黑" w:eastAsia="微软雅黑"/>
          <w:b/>
          <w:bCs/>
          <w:sz w:val="24"/>
        </w:rPr>
      </w:pPr>
      <w:r>
        <w:rPr>
          <w:rFonts w:hint="eastAsia" w:ascii="宋体" w:hAnsi="宋体"/>
          <w:szCs w:val="21"/>
        </w:rPr>
        <w:t>根据招标文件规定及投标人提供的材料自行编写目录。</w:t>
      </w:r>
    </w:p>
    <w:p w14:paraId="78D8E9D6">
      <w:pPr>
        <w:snapToGrid w:val="0"/>
        <w:spacing w:before="50" w:afterLines="50"/>
        <w:jc w:val="center"/>
        <w:rPr>
          <w:rFonts w:ascii="宋体" w:hAnsi="宋体"/>
        </w:rPr>
      </w:pPr>
    </w:p>
    <w:p w14:paraId="63B819E5">
      <w:pPr>
        <w:snapToGrid w:val="0"/>
        <w:spacing w:beforeLines="50" w:after="50"/>
        <w:jc w:val="left"/>
        <w:rPr>
          <w:rFonts w:ascii="宋体" w:hAnsi="宋体"/>
          <w:b/>
          <w:sz w:val="24"/>
        </w:rPr>
      </w:pPr>
      <w:r>
        <w:rPr>
          <w:rFonts w:ascii="宋体" w:hAnsi="宋体"/>
          <w:b/>
          <w:sz w:val="24"/>
        </w:rPr>
        <w:br w:type="page"/>
      </w:r>
      <w:r>
        <w:rPr>
          <w:rFonts w:hint="eastAsia" w:ascii="宋体" w:hAnsi="宋体"/>
          <w:b/>
          <w:sz w:val="24"/>
        </w:rPr>
        <w:t>1.投标人参加本项目无围标串标行为的承诺</w:t>
      </w:r>
    </w:p>
    <w:p w14:paraId="30DCD6D8">
      <w:pPr>
        <w:snapToGrid w:val="0"/>
        <w:spacing w:beforeLines="50" w:after="50"/>
        <w:ind w:left="420"/>
        <w:jc w:val="left"/>
        <w:rPr>
          <w:rFonts w:ascii="宋体" w:hAnsi="宋体"/>
          <w:b/>
          <w:sz w:val="24"/>
        </w:rPr>
      </w:pPr>
    </w:p>
    <w:p w14:paraId="71F514F4">
      <w:pPr>
        <w:snapToGrid w:val="0"/>
        <w:spacing w:beforeLines="50" w:after="50"/>
        <w:ind w:left="420"/>
        <w:jc w:val="center"/>
        <w:rPr>
          <w:rFonts w:ascii="宋体" w:hAnsi="宋体"/>
          <w:b/>
          <w:sz w:val="24"/>
        </w:rPr>
      </w:pPr>
      <w:r>
        <w:rPr>
          <w:rFonts w:hint="eastAsia" w:ascii="宋体" w:hAnsi="宋体"/>
          <w:b/>
          <w:sz w:val="24"/>
        </w:rPr>
        <w:t>投标人参加本项目无围标串标行为的承诺函</w:t>
      </w:r>
    </w:p>
    <w:p w14:paraId="34C07D34">
      <w:pPr>
        <w:snapToGrid w:val="0"/>
        <w:spacing w:beforeLines="50" w:after="50" w:line="360" w:lineRule="auto"/>
        <w:jc w:val="left"/>
        <w:rPr>
          <w:rFonts w:ascii="宋体" w:hAnsi="宋体"/>
          <w:b/>
          <w:szCs w:val="21"/>
        </w:rPr>
      </w:pPr>
      <w:r>
        <w:rPr>
          <w:rFonts w:hint="eastAsia" w:ascii="宋体" w:hAnsi="宋体"/>
          <w:b/>
          <w:szCs w:val="21"/>
        </w:rPr>
        <w:t>一、我方承诺无下列相互串通投标的情形：</w:t>
      </w:r>
    </w:p>
    <w:p w14:paraId="344D3D1C">
      <w:pPr>
        <w:snapToGrid w:val="0"/>
        <w:spacing w:beforeLines="50" w:after="50" w:line="360" w:lineRule="auto"/>
        <w:ind w:firstLine="411" w:firstLineChars="196"/>
        <w:jc w:val="left"/>
        <w:rPr>
          <w:rFonts w:ascii="宋体" w:hAnsi="宋体"/>
          <w:szCs w:val="21"/>
        </w:rPr>
      </w:pPr>
      <w:r>
        <w:rPr>
          <w:rFonts w:hint="eastAsia" w:ascii="宋体" w:hAnsi="宋体"/>
          <w:szCs w:val="21"/>
        </w:rPr>
        <w:t>1.不同投标人的投标文件由同一单位或者个人编制；或者不同投标人报名的IP地址一致的；</w:t>
      </w:r>
    </w:p>
    <w:p w14:paraId="201F095C">
      <w:pPr>
        <w:snapToGrid w:val="0"/>
        <w:spacing w:beforeLines="50" w:after="50" w:line="360" w:lineRule="auto"/>
        <w:ind w:firstLine="411" w:firstLineChars="196"/>
        <w:jc w:val="left"/>
        <w:rPr>
          <w:rFonts w:ascii="宋体" w:hAnsi="宋体"/>
          <w:szCs w:val="21"/>
        </w:rPr>
      </w:pPr>
      <w:r>
        <w:rPr>
          <w:rFonts w:hint="eastAsia" w:ascii="宋体" w:hAnsi="宋体"/>
          <w:szCs w:val="21"/>
        </w:rPr>
        <w:t>2.不同投标人委托同一单位或者个人办理投标事宜；</w:t>
      </w:r>
    </w:p>
    <w:p w14:paraId="48E87704">
      <w:pPr>
        <w:snapToGrid w:val="0"/>
        <w:spacing w:beforeLines="50" w:after="50" w:line="360" w:lineRule="auto"/>
        <w:ind w:firstLine="411" w:firstLineChars="196"/>
        <w:jc w:val="left"/>
        <w:rPr>
          <w:rFonts w:ascii="宋体" w:hAnsi="宋体"/>
          <w:szCs w:val="21"/>
        </w:rPr>
      </w:pPr>
      <w:r>
        <w:rPr>
          <w:rFonts w:hint="eastAsia" w:ascii="宋体" w:hAnsi="宋体"/>
          <w:szCs w:val="21"/>
        </w:rPr>
        <w:t>3.不同的投标人的投标文件载明的项目管理员为同一个人；</w:t>
      </w:r>
    </w:p>
    <w:p w14:paraId="179BAABE">
      <w:pPr>
        <w:snapToGrid w:val="0"/>
        <w:spacing w:beforeLines="50" w:after="50" w:line="360" w:lineRule="auto"/>
        <w:ind w:firstLine="411" w:firstLineChars="196"/>
        <w:jc w:val="left"/>
        <w:rPr>
          <w:rFonts w:ascii="宋体" w:hAnsi="宋体"/>
          <w:szCs w:val="21"/>
        </w:rPr>
      </w:pPr>
      <w:r>
        <w:rPr>
          <w:rFonts w:hint="eastAsia" w:ascii="宋体" w:hAnsi="宋体"/>
          <w:szCs w:val="21"/>
        </w:rPr>
        <w:t>4.不同投标人的投标文件异常一致或者投标报价呈规律性差异；</w:t>
      </w:r>
    </w:p>
    <w:p w14:paraId="6CE640D3">
      <w:pPr>
        <w:snapToGrid w:val="0"/>
        <w:spacing w:beforeLines="50" w:after="50" w:line="360" w:lineRule="auto"/>
        <w:ind w:firstLine="411" w:firstLineChars="196"/>
        <w:jc w:val="left"/>
        <w:rPr>
          <w:rFonts w:ascii="宋体" w:hAnsi="宋体"/>
          <w:szCs w:val="21"/>
        </w:rPr>
      </w:pPr>
      <w:r>
        <w:rPr>
          <w:rFonts w:hint="eastAsia" w:ascii="宋体" w:hAnsi="宋体"/>
          <w:szCs w:val="21"/>
        </w:rPr>
        <w:t>5.不同投标人的投标文件相互混装；</w:t>
      </w:r>
    </w:p>
    <w:p w14:paraId="290659A7">
      <w:pPr>
        <w:snapToGrid w:val="0"/>
        <w:spacing w:beforeLines="50" w:after="50" w:line="360" w:lineRule="auto"/>
        <w:ind w:firstLine="411" w:firstLineChars="196"/>
        <w:jc w:val="left"/>
        <w:rPr>
          <w:rFonts w:ascii="宋体" w:hAnsi="宋体"/>
          <w:szCs w:val="21"/>
        </w:rPr>
      </w:pPr>
      <w:r>
        <w:rPr>
          <w:rFonts w:hint="eastAsia" w:ascii="宋体" w:hAnsi="宋体"/>
          <w:szCs w:val="21"/>
        </w:rPr>
        <w:t>6.不同投标人的投标保证金从同一单位或者个人账户转出。</w:t>
      </w:r>
    </w:p>
    <w:p w14:paraId="18DAD0B9">
      <w:pPr>
        <w:snapToGrid w:val="0"/>
        <w:spacing w:beforeLines="50" w:after="50" w:line="360" w:lineRule="auto"/>
        <w:jc w:val="left"/>
        <w:rPr>
          <w:rFonts w:ascii="宋体" w:hAnsi="宋体"/>
          <w:szCs w:val="21"/>
        </w:rPr>
      </w:pPr>
      <w:r>
        <w:rPr>
          <w:rFonts w:hint="eastAsia" w:ascii="宋体" w:hAnsi="宋体"/>
          <w:b/>
          <w:szCs w:val="21"/>
        </w:rPr>
        <w:t>二、我方承诺无下列恶意串通的情形：</w:t>
      </w:r>
    </w:p>
    <w:p w14:paraId="3EDB8429">
      <w:pPr>
        <w:snapToGrid w:val="0"/>
        <w:spacing w:beforeLines="50" w:after="50" w:line="360" w:lineRule="auto"/>
        <w:ind w:firstLine="411" w:firstLineChars="196"/>
        <w:jc w:val="left"/>
        <w:rPr>
          <w:rFonts w:ascii="宋体" w:hAnsi="宋体"/>
          <w:szCs w:val="21"/>
        </w:rPr>
      </w:pPr>
      <w:r>
        <w:rPr>
          <w:rFonts w:hint="eastAsia" w:ascii="宋体" w:hAnsi="宋体"/>
          <w:szCs w:val="21"/>
        </w:rPr>
        <w:t>1.投标人直接或者间接从采购人或者采购代理机构处获得其他投标人的相关信息并修改其投标文件或者响应文件；</w:t>
      </w:r>
    </w:p>
    <w:p w14:paraId="3B707988">
      <w:pPr>
        <w:snapToGrid w:val="0"/>
        <w:spacing w:beforeLines="50" w:after="50" w:line="360" w:lineRule="auto"/>
        <w:ind w:firstLine="411" w:firstLineChars="196"/>
        <w:jc w:val="left"/>
        <w:rPr>
          <w:rFonts w:ascii="宋体" w:hAnsi="宋体"/>
          <w:szCs w:val="21"/>
        </w:rPr>
      </w:pPr>
      <w:r>
        <w:rPr>
          <w:rFonts w:hint="eastAsia" w:ascii="宋体" w:hAnsi="宋体"/>
          <w:szCs w:val="21"/>
        </w:rPr>
        <w:t>2.投标人按照采购人或者采购代理机构的授意撤换、修改投标文件或者响应文件；</w:t>
      </w:r>
    </w:p>
    <w:p w14:paraId="3DFCD368">
      <w:pPr>
        <w:snapToGrid w:val="0"/>
        <w:spacing w:beforeLines="50" w:after="50" w:line="360" w:lineRule="auto"/>
        <w:ind w:firstLine="411" w:firstLineChars="196"/>
        <w:jc w:val="left"/>
        <w:rPr>
          <w:rFonts w:ascii="宋体" w:hAnsi="宋体"/>
          <w:szCs w:val="21"/>
        </w:rPr>
      </w:pPr>
      <w:r>
        <w:rPr>
          <w:rFonts w:hint="eastAsia" w:ascii="宋体" w:hAnsi="宋体"/>
          <w:szCs w:val="21"/>
        </w:rPr>
        <w:t>3.投标人之间协商报价、技术方案等投标文件或者响应文件的实质性内容；</w:t>
      </w:r>
    </w:p>
    <w:p w14:paraId="028C76A2">
      <w:pPr>
        <w:snapToGrid w:val="0"/>
        <w:spacing w:beforeLines="50" w:after="50" w:line="360" w:lineRule="auto"/>
        <w:ind w:firstLine="411" w:firstLineChars="196"/>
        <w:jc w:val="left"/>
        <w:rPr>
          <w:rFonts w:ascii="宋体" w:hAnsi="宋体"/>
          <w:szCs w:val="21"/>
        </w:rPr>
      </w:pPr>
      <w:r>
        <w:rPr>
          <w:rFonts w:hint="eastAsia" w:ascii="宋体" w:hAnsi="宋体"/>
          <w:szCs w:val="21"/>
        </w:rPr>
        <w:t>4.属于同一集团、协会、商会等组织成员的投标人按照该组织要求协同参加政府采购活动；</w:t>
      </w:r>
    </w:p>
    <w:p w14:paraId="3DC65D03">
      <w:pPr>
        <w:snapToGrid w:val="0"/>
        <w:spacing w:beforeLines="50" w:after="50" w:line="360" w:lineRule="auto"/>
        <w:ind w:firstLine="411" w:firstLineChars="196"/>
        <w:jc w:val="left"/>
        <w:rPr>
          <w:rFonts w:ascii="宋体" w:hAnsi="宋体"/>
          <w:szCs w:val="21"/>
        </w:rPr>
      </w:pPr>
      <w:r>
        <w:rPr>
          <w:rFonts w:hint="eastAsia" w:ascii="宋体" w:hAnsi="宋体"/>
          <w:szCs w:val="21"/>
        </w:rPr>
        <w:t>5.投标人之间事先约定一致抬高或者压低投标报价，或者在招标项目中事先约定轮流以高价位或者低价位中标，或者事先约定由某一特定投标人中标，然后再参加投标；</w:t>
      </w:r>
    </w:p>
    <w:p w14:paraId="3253123B">
      <w:pPr>
        <w:snapToGrid w:val="0"/>
        <w:spacing w:beforeLines="50" w:after="50" w:line="360" w:lineRule="auto"/>
        <w:ind w:firstLine="411" w:firstLineChars="196"/>
        <w:jc w:val="left"/>
        <w:rPr>
          <w:rFonts w:ascii="宋体" w:hAnsi="宋体"/>
          <w:szCs w:val="21"/>
        </w:rPr>
      </w:pPr>
      <w:r>
        <w:rPr>
          <w:rFonts w:hint="eastAsia" w:ascii="宋体" w:hAnsi="宋体"/>
          <w:szCs w:val="21"/>
        </w:rPr>
        <w:t>6.投标人之间商定部分投标人放弃参加政府采购活动或者放弃中标；</w:t>
      </w:r>
    </w:p>
    <w:p w14:paraId="559342DA">
      <w:pPr>
        <w:snapToGrid w:val="0"/>
        <w:spacing w:beforeLines="50" w:after="50" w:line="360" w:lineRule="auto"/>
        <w:ind w:firstLine="411" w:firstLineChars="196"/>
        <w:jc w:val="left"/>
        <w:rPr>
          <w:rFonts w:ascii="宋体" w:hAnsi="宋体"/>
          <w:szCs w:val="21"/>
        </w:rPr>
      </w:pPr>
      <w:r>
        <w:rPr>
          <w:rFonts w:hint="eastAsia" w:ascii="宋体" w:hAnsi="宋体"/>
          <w:szCs w:val="21"/>
        </w:rPr>
        <w:t>7.投标人与采购人或者采购代理机构之间、投标人相互之间，为谋求特定投标人中标或者排斥其他投标人的其他串通行为。</w:t>
      </w:r>
    </w:p>
    <w:p w14:paraId="238B388A">
      <w:pPr>
        <w:snapToGrid w:val="0"/>
        <w:spacing w:beforeLines="50" w:after="50" w:line="360" w:lineRule="auto"/>
        <w:ind w:firstLine="211" w:firstLineChars="100"/>
        <w:jc w:val="left"/>
        <w:rPr>
          <w:rFonts w:ascii="宋体" w:hAnsi="宋体"/>
          <w:b/>
          <w:szCs w:val="21"/>
        </w:rPr>
      </w:pPr>
    </w:p>
    <w:p w14:paraId="77EA2844">
      <w:pPr>
        <w:snapToGrid w:val="0"/>
        <w:spacing w:beforeLines="50" w:after="50" w:line="360" w:lineRule="auto"/>
        <w:ind w:firstLine="211" w:firstLineChars="100"/>
        <w:jc w:val="left"/>
        <w:rPr>
          <w:rFonts w:ascii="宋体" w:hAnsi="宋体"/>
          <w:b/>
          <w:szCs w:val="21"/>
        </w:rPr>
      </w:pPr>
      <w:r>
        <w:rPr>
          <w:rFonts w:hint="eastAsia" w:ascii="宋体" w:hAnsi="宋体"/>
          <w:b/>
          <w:szCs w:val="21"/>
        </w:rPr>
        <w:t>以上情形一经核查属实，我方愿意承担一切后果，并不再寻求任何旨在减轻或者免除法律责任的辩解。</w:t>
      </w:r>
    </w:p>
    <w:p w14:paraId="414B976D">
      <w:pPr>
        <w:snapToGrid w:val="0"/>
        <w:spacing w:before="50" w:after="50" w:line="300" w:lineRule="auto"/>
        <w:ind w:left="-6" w:leftChars="-15" w:right="-817" w:rightChars="-389" w:hanging="25" w:hangingChars="12"/>
        <w:jc w:val="left"/>
        <w:rPr>
          <w:rFonts w:ascii="宋体" w:hAnsi="宋体"/>
          <w:b/>
          <w:bCs/>
          <w:szCs w:val="21"/>
        </w:rPr>
      </w:pPr>
    </w:p>
    <w:p w14:paraId="2A522424">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4F3A277D">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49243581">
      <w:pPr>
        <w:snapToGrid w:val="0"/>
        <w:spacing w:before="50" w:after="50" w:line="360" w:lineRule="auto"/>
        <w:ind w:left="-6" w:leftChars="-15" w:right="-817" w:rightChars="-389" w:hanging="25" w:hangingChars="12"/>
        <w:jc w:val="left"/>
        <w:rPr>
          <w:rFonts w:ascii="宋体" w:hAnsi="宋体"/>
          <w:sz w:val="20"/>
          <w:szCs w:val="22"/>
        </w:rPr>
      </w:pPr>
      <w:r>
        <w:rPr>
          <w:rFonts w:hint="eastAsia" w:ascii="宋体" w:hAnsi="宋体"/>
          <w:b/>
          <w:bCs/>
          <w:szCs w:val="21"/>
        </w:rPr>
        <w:t>日期：    年   月   日</w:t>
      </w:r>
    </w:p>
    <w:p w14:paraId="55E27F83">
      <w:pPr>
        <w:pStyle w:val="15"/>
        <w:snapToGrid w:val="0"/>
        <w:spacing w:before="295" w:after="295" w:line="360" w:lineRule="auto"/>
        <w:rPr>
          <w:rFonts w:hAnsi="宋体"/>
          <w:sz w:val="21"/>
          <w:szCs w:val="18"/>
        </w:rPr>
      </w:pPr>
    </w:p>
    <w:p w14:paraId="1C51FBE7">
      <w:pPr>
        <w:snapToGrid w:val="0"/>
        <w:spacing w:beforeLines="50" w:after="50"/>
        <w:jc w:val="left"/>
        <w:rPr>
          <w:rFonts w:ascii="宋体" w:hAnsi="宋体"/>
          <w:b/>
          <w:sz w:val="24"/>
          <w:szCs w:val="20"/>
        </w:rPr>
      </w:pPr>
      <w:r>
        <w:rPr>
          <w:rFonts w:ascii="宋体" w:hAnsi="宋体"/>
          <w:b/>
          <w:sz w:val="24"/>
        </w:rPr>
        <w:br w:type="page"/>
      </w:r>
      <w:r>
        <w:rPr>
          <w:rFonts w:hint="eastAsia" w:ascii="宋体" w:hAnsi="宋体"/>
          <w:b/>
          <w:sz w:val="24"/>
        </w:rPr>
        <w:t>2.法定代表人身份证明</w:t>
      </w:r>
    </w:p>
    <w:p w14:paraId="475C9D57">
      <w:pPr>
        <w:spacing w:beforeLines="100" w:afterLines="50"/>
        <w:ind w:left="540"/>
        <w:jc w:val="center"/>
        <w:rPr>
          <w:rFonts w:ascii="宋体" w:hAnsi="Courier New"/>
          <w:b/>
          <w:sz w:val="32"/>
          <w:szCs w:val="32"/>
        </w:rPr>
      </w:pPr>
    </w:p>
    <w:p w14:paraId="0886D6BD">
      <w:pPr>
        <w:spacing w:beforeLines="100" w:afterLines="50"/>
        <w:ind w:left="540"/>
        <w:jc w:val="center"/>
        <w:rPr>
          <w:rFonts w:ascii="黑体" w:hAnsi="宋体" w:eastAsia="黑体"/>
          <w:sz w:val="24"/>
        </w:rPr>
      </w:pPr>
      <w:r>
        <w:rPr>
          <w:rFonts w:hint="eastAsia" w:ascii="宋体" w:hAnsi="Courier New"/>
          <w:b/>
          <w:sz w:val="24"/>
        </w:rPr>
        <w:t>法定代表人身份证明</w:t>
      </w:r>
    </w:p>
    <w:p w14:paraId="0144089F">
      <w:pPr>
        <w:spacing w:line="500" w:lineRule="exact"/>
        <w:ind w:left="540"/>
        <w:rPr>
          <w:rFonts w:ascii="宋体" w:hAnsi="宋体"/>
          <w:szCs w:val="21"/>
        </w:rPr>
      </w:pPr>
      <w:r>
        <w:rPr>
          <w:rFonts w:hint="eastAsia" w:ascii="宋体" w:hAnsi="宋体"/>
          <w:szCs w:val="21"/>
        </w:rPr>
        <w:t>投 标 人：</w:t>
      </w:r>
    </w:p>
    <w:p w14:paraId="39F4D334">
      <w:pPr>
        <w:spacing w:line="500" w:lineRule="exact"/>
        <w:ind w:left="540"/>
        <w:rPr>
          <w:rFonts w:ascii="宋体" w:hAnsi="宋体"/>
          <w:szCs w:val="21"/>
        </w:rPr>
      </w:pPr>
      <w:r>
        <w:rPr>
          <w:rFonts w:hint="eastAsia" w:ascii="宋体" w:hAnsi="宋体"/>
          <w:szCs w:val="21"/>
        </w:rPr>
        <w:t>地    址：</w:t>
      </w:r>
    </w:p>
    <w:p w14:paraId="0C316B05">
      <w:pPr>
        <w:spacing w:line="500" w:lineRule="exact"/>
        <w:ind w:left="540"/>
        <w:rPr>
          <w:rFonts w:ascii="宋体" w:hAnsi="宋体"/>
          <w:szCs w:val="21"/>
        </w:rPr>
      </w:pPr>
      <w:r>
        <w:rPr>
          <w:rFonts w:hint="eastAsia" w:ascii="宋体" w:hAnsi="宋体"/>
          <w:szCs w:val="21"/>
        </w:rPr>
        <w:t>姓    名：性      别：</w:t>
      </w:r>
    </w:p>
    <w:p w14:paraId="0C9303BB">
      <w:pPr>
        <w:spacing w:line="500" w:lineRule="exact"/>
        <w:ind w:left="540"/>
        <w:rPr>
          <w:rFonts w:ascii="宋体" w:hAnsi="宋体"/>
          <w:szCs w:val="21"/>
          <w:u w:val="single"/>
        </w:rPr>
      </w:pPr>
      <w:r>
        <w:rPr>
          <w:rFonts w:hint="eastAsia" w:ascii="宋体" w:hAnsi="宋体"/>
          <w:szCs w:val="21"/>
        </w:rPr>
        <w:t>年    龄：职      务：</w:t>
      </w:r>
    </w:p>
    <w:p w14:paraId="48E159A7">
      <w:pPr>
        <w:spacing w:line="500" w:lineRule="exact"/>
        <w:ind w:left="540"/>
        <w:rPr>
          <w:rFonts w:ascii="宋体" w:hAnsi="宋体"/>
          <w:szCs w:val="21"/>
        </w:rPr>
      </w:pPr>
      <w:r>
        <w:rPr>
          <w:rFonts w:hint="eastAsia" w:ascii="宋体" w:hAnsi="宋体"/>
          <w:szCs w:val="21"/>
        </w:rPr>
        <w:t>身份证</w:t>
      </w:r>
      <w:r>
        <w:rPr>
          <w:rFonts w:hint="eastAsia"/>
          <w:szCs w:val="21"/>
        </w:rPr>
        <w:t>号码：</w:t>
      </w:r>
    </w:p>
    <w:p w14:paraId="0A1EA2E8">
      <w:pPr>
        <w:spacing w:line="500" w:lineRule="exact"/>
        <w:ind w:left="540"/>
        <w:rPr>
          <w:rFonts w:ascii="宋体" w:hAnsi="宋体"/>
          <w:szCs w:val="21"/>
        </w:rPr>
      </w:pPr>
      <w:r>
        <w:rPr>
          <w:rFonts w:hint="eastAsia" w:ascii="宋体" w:hAnsi="宋体"/>
          <w:szCs w:val="21"/>
        </w:rPr>
        <w:t>系</w:t>
      </w:r>
      <w:r>
        <w:rPr>
          <w:rFonts w:hint="eastAsia" w:ascii="宋体" w:hAnsi="宋体"/>
          <w:szCs w:val="21"/>
          <w:u w:val="single"/>
        </w:rPr>
        <w:t xml:space="preserve">            （投标人名称）              </w:t>
      </w:r>
      <w:r>
        <w:rPr>
          <w:rFonts w:hint="eastAsia" w:ascii="宋体" w:hAnsi="宋体"/>
          <w:szCs w:val="21"/>
        </w:rPr>
        <w:t>的法定代表人。</w:t>
      </w:r>
    </w:p>
    <w:p w14:paraId="09697E8D">
      <w:pPr>
        <w:spacing w:line="500" w:lineRule="exact"/>
        <w:ind w:left="540"/>
        <w:rPr>
          <w:rFonts w:ascii="宋体" w:hAnsi="宋体"/>
          <w:szCs w:val="21"/>
        </w:rPr>
      </w:pPr>
      <w:r>
        <w:rPr>
          <w:rFonts w:hint="eastAsia" w:ascii="宋体" w:hAnsi="宋体"/>
          <w:szCs w:val="21"/>
        </w:rPr>
        <w:t>特此证明。</w:t>
      </w:r>
    </w:p>
    <w:p w14:paraId="24B8A8BA">
      <w:pPr>
        <w:spacing w:line="500" w:lineRule="exact"/>
        <w:ind w:left="540"/>
        <w:rPr>
          <w:rFonts w:ascii="宋体" w:hAnsi="宋体"/>
          <w:szCs w:val="21"/>
        </w:rPr>
      </w:pPr>
    </w:p>
    <w:p w14:paraId="1C2DAAAD">
      <w:pPr>
        <w:spacing w:line="500" w:lineRule="exact"/>
        <w:ind w:left="540"/>
        <w:rPr>
          <w:rFonts w:ascii="宋体" w:hAnsi="宋体"/>
          <w:szCs w:val="21"/>
        </w:rPr>
      </w:pPr>
      <w:r>
        <w:rPr>
          <w:rFonts w:hint="eastAsia" w:ascii="宋体" w:hAnsi="宋体"/>
          <w:szCs w:val="21"/>
        </w:rPr>
        <w:t>附件：法定代表人有效身份证正反面复印件</w:t>
      </w:r>
    </w:p>
    <w:p w14:paraId="28620944">
      <w:pPr>
        <w:spacing w:line="500" w:lineRule="exact"/>
        <w:ind w:left="540"/>
        <w:rPr>
          <w:rFonts w:ascii="宋体" w:hAnsi="宋体"/>
          <w:szCs w:val="21"/>
        </w:rPr>
      </w:pPr>
    </w:p>
    <w:p w14:paraId="69BFCBA6">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6EF74604">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1140D819">
      <w:pPr>
        <w:snapToGrid w:val="0"/>
        <w:spacing w:before="50" w:after="50" w:line="360" w:lineRule="auto"/>
        <w:ind w:right="-817" w:rightChars="-389"/>
        <w:jc w:val="left"/>
        <w:rPr>
          <w:rFonts w:ascii="宋体" w:hAnsi="宋体"/>
          <w:sz w:val="20"/>
          <w:szCs w:val="22"/>
        </w:rPr>
      </w:pPr>
      <w:r>
        <w:rPr>
          <w:rFonts w:hint="eastAsia" w:ascii="宋体" w:hAnsi="宋体"/>
          <w:b/>
          <w:bCs/>
          <w:szCs w:val="21"/>
        </w:rPr>
        <w:t>日期：    年   月   日</w:t>
      </w:r>
    </w:p>
    <w:p w14:paraId="69811E6D">
      <w:pPr>
        <w:snapToGrid w:val="0"/>
        <w:spacing w:beforeLines="50" w:after="50"/>
        <w:jc w:val="center"/>
        <w:rPr>
          <w:rFonts w:ascii="宋体" w:hAnsi="宋体"/>
          <w:b/>
          <w:szCs w:val="21"/>
        </w:rPr>
      </w:pPr>
    </w:p>
    <w:p w14:paraId="5B4DD207">
      <w:pPr>
        <w:snapToGrid w:val="0"/>
        <w:spacing w:beforeLines="50" w:after="50"/>
        <w:ind w:firstLine="630" w:firstLineChars="300"/>
        <w:jc w:val="left"/>
        <w:rPr>
          <w:rFonts w:ascii="宋体" w:hAnsi="宋体"/>
          <w:b/>
          <w:szCs w:val="16"/>
        </w:rPr>
      </w:pPr>
      <w:r>
        <w:rPr>
          <w:rFonts w:hint="eastAsia" w:ascii="宋体" w:hAnsi="宋体"/>
          <w:szCs w:val="21"/>
        </w:rPr>
        <w:t>注：自然人投标的无需提供</w:t>
      </w:r>
    </w:p>
    <w:p w14:paraId="7BC36690">
      <w:pPr>
        <w:snapToGrid w:val="0"/>
        <w:spacing w:beforeLines="50" w:after="50"/>
        <w:jc w:val="left"/>
        <w:rPr>
          <w:rFonts w:ascii="宋体" w:hAnsi="宋体"/>
          <w:b/>
          <w:sz w:val="24"/>
          <w:szCs w:val="20"/>
        </w:rPr>
      </w:pPr>
      <w:r>
        <w:rPr>
          <w:rFonts w:ascii="宋体" w:hAnsi="宋体"/>
          <w:b/>
          <w:szCs w:val="21"/>
        </w:rPr>
        <w:br w:type="page"/>
      </w:r>
      <w:r>
        <w:rPr>
          <w:rFonts w:hint="eastAsia" w:ascii="宋体" w:hAnsi="宋体"/>
          <w:b/>
          <w:szCs w:val="21"/>
        </w:rPr>
        <w:t>3.</w:t>
      </w:r>
      <w:r>
        <w:rPr>
          <w:rFonts w:hint="eastAsia" w:ascii="宋体" w:hAnsi="宋体"/>
          <w:b/>
          <w:sz w:val="24"/>
        </w:rPr>
        <w:t>法定代表人授权委托书</w:t>
      </w:r>
    </w:p>
    <w:p w14:paraId="097D01E6">
      <w:pPr>
        <w:snapToGrid w:val="0"/>
        <w:spacing w:beforeLines="50" w:after="50"/>
        <w:jc w:val="center"/>
        <w:rPr>
          <w:rFonts w:ascii="宋体" w:hAnsi="宋体"/>
          <w:b/>
          <w:sz w:val="44"/>
          <w:szCs w:val="44"/>
        </w:rPr>
      </w:pPr>
    </w:p>
    <w:p w14:paraId="378A0CE2">
      <w:pPr>
        <w:snapToGrid w:val="0"/>
        <w:spacing w:beforeLines="50" w:after="50"/>
        <w:jc w:val="center"/>
        <w:rPr>
          <w:rFonts w:ascii="宋体" w:hAnsi="宋体"/>
          <w:b/>
          <w:sz w:val="24"/>
        </w:rPr>
      </w:pPr>
      <w:r>
        <w:rPr>
          <w:rFonts w:hint="eastAsia" w:ascii="宋体" w:hAnsi="宋体"/>
          <w:b/>
          <w:sz w:val="24"/>
        </w:rPr>
        <w:t>法定代表人授权委托书</w:t>
      </w:r>
    </w:p>
    <w:p w14:paraId="65383B44">
      <w:pPr>
        <w:snapToGrid w:val="0"/>
        <w:spacing w:beforeLines="50" w:after="50"/>
        <w:jc w:val="center"/>
        <w:rPr>
          <w:rFonts w:ascii="宋体" w:hAnsi="宋体"/>
          <w:b/>
          <w:sz w:val="24"/>
        </w:rPr>
      </w:pPr>
      <w:r>
        <w:rPr>
          <w:rFonts w:hint="eastAsia" w:ascii="宋体" w:hAnsi="宋体"/>
          <w:b/>
          <w:sz w:val="24"/>
        </w:rPr>
        <w:t>（非联合体投标格式）</w:t>
      </w:r>
    </w:p>
    <w:p w14:paraId="0B87EA95">
      <w:pPr>
        <w:snapToGrid w:val="0"/>
        <w:spacing w:beforeLines="50" w:after="50"/>
        <w:jc w:val="center"/>
        <w:rPr>
          <w:rFonts w:ascii="宋体" w:hAnsi="宋体"/>
          <w:b/>
          <w:szCs w:val="21"/>
        </w:rPr>
      </w:pPr>
      <w:r>
        <w:rPr>
          <w:rFonts w:hint="eastAsia" w:ascii="宋体" w:hAnsi="宋体"/>
          <w:b/>
          <w:sz w:val="24"/>
        </w:rPr>
        <w:t>（如有委托时）</w:t>
      </w:r>
    </w:p>
    <w:p w14:paraId="301630A4">
      <w:pPr>
        <w:snapToGrid w:val="0"/>
        <w:spacing w:beforeLines="50" w:after="50"/>
        <w:jc w:val="center"/>
        <w:rPr>
          <w:rFonts w:ascii="宋体" w:hAnsi="宋体"/>
          <w:b/>
          <w:szCs w:val="21"/>
        </w:rPr>
      </w:pPr>
    </w:p>
    <w:p w14:paraId="3672D0ED">
      <w:pPr>
        <w:snapToGrid w:val="0"/>
        <w:spacing w:beforeLines="50" w:after="50"/>
        <w:rPr>
          <w:rFonts w:ascii="宋体" w:hAnsi="宋体"/>
          <w:b/>
          <w:bCs/>
          <w:szCs w:val="21"/>
        </w:rPr>
      </w:pPr>
      <w:r>
        <w:rPr>
          <w:rFonts w:hint="eastAsia" w:ascii="宋体" w:hAnsi="宋体"/>
          <w:bCs/>
          <w:szCs w:val="21"/>
        </w:rPr>
        <w:t>致：</w:t>
      </w:r>
      <w:r>
        <w:rPr>
          <w:rFonts w:hint="eastAsia" w:ascii="宋体" w:hAnsi="宋体"/>
          <w:szCs w:val="21"/>
          <w:u w:val="single"/>
        </w:rPr>
        <w:t>采购人名称</w:t>
      </w:r>
      <w:r>
        <w:rPr>
          <w:rFonts w:hint="eastAsia" w:ascii="宋体" w:hAnsi="宋体"/>
          <w:szCs w:val="21"/>
        </w:rPr>
        <w:t>：</w:t>
      </w:r>
    </w:p>
    <w:p w14:paraId="65E1B9EC">
      <w:pPr>
        <w:snapToGrid w:val="0"/>
        <w:spacing w:beforeLines="50" w:after="50" w:line="360" w:lineRule="auto"/>
        <w:ind w:firstLine="495" w:firstLineChars="236"/>
        <w:rPr>
          <w:rFonts w:ascii="宋体" w:hAnsi="宋体"/>
          <w:szCs w:val="21"/>
        </w:rPr>
      </w:pPr>
      <w:r>
        <w:rPr>
          <w:rFonts w:hint="eastAsia" w:ascii="宋体" w:hAnsi="宋体"/>
          <w:szCs w:val="21"/>
        </w:rPr>
        <w:t>我（姓名）系（投标人名称）的法定代表人，现授权委托</w:t>
      </w:r>
      <w:r>
        <w:rPr>
          <w:rFonts w:hint="eastAsia" w:ascii="宋体" w:hAnsi="宋体"/>
          <w:szCs w:val="21"/>
          <w:u w:val="single"/>
        </w:rPr>
        <w:t xml:space="preserve">              （姓名）</w:t>
      </w:r>
      <w:r>
        <w:rPr>
          <w:rFonts w:hint="eastAsia" w:ascii="宋体" w:hAnsi="宋体"/>
          <w:szCs w:val="21"/>
        </w:rPr>
        <w:t>以我方的名义参加</w:t>
      </w:r>
      <w:r>
        <w:rPr>
          <w:rFonts w:hint="eastAsia" w:ascii="宋体" w:hAnsi="宋体"/>
          <w:szCs w:val="21"/>
          <w:u w:val="single"/>
        </w:rPr>
        <w:t xml:space="preserve">     （项目名称）     </w:t>
      </w:r>
      <w:r>
        <w:rPr>
          <w:rFonts w:hint="eastAsia" w:ascii="宋体" w:hAnsi="宋体"/>
          <w:szCs w:val="21"/>
        </w:rPr>
        <w:t>（项目编号：</w:t>
      </w:r>
      <w:r>
        <w:rPr>
          <w:rFonts w:hint="eastAsia" w:ascii="宋体" w:hAnsi="宋体" w:cs="宋体"/>
          <w:szCs w:val="21"/>
        </w:rPr>
        <w:t>标项：</w:t>
      </w:r>
      <w:r>
        <w:rPr>
          <w:rFonts w:hint="eastAsia" w:ascii="宋体" w:hAnsi="宋体"/>
          <w:szCs w:val="21"/>
        </w:rPr>
        <w:t>）项目的投标活动，并代表我方全权办理针对上述项目的所有采购程序和环节的具体事务和签署相关文件。</w:t>
      </w:r>
    </w:p>
    <w:p w14:paraId="6E3BCFAB">
      <w:pPr>
        <w:snapToGrid w:val="0"/>
        <w:spacing w:beforeLines="50" w:after="50"/>
        <w:rPr>
          <w:rFonts w:ascii="宋体" w:hAnsi="宋体"/>
          <w:szCs w:val="21"/>
        </w:rPr>
      </w:pPr>
      <w:r>
        <w:rPr>
          <w:rFonts w:hint="eastAsia" w:ascii="宋体" w:hAnsi="宋体"/>
          <w:szCs w:val="21"/>
        </w:rPr>
        <w:t xml:space="preserve">    我方对委托代理人的签字事项负全部责任。</w:t>
      </w:r>
    </w:p>
    <w:p w14:paraId="1133B276">
      <w:pPr>
        <w:snapToGrid w:val="0"/>
        <w:spacing w:beforeLines="50" w:after="50" w:line="360" w:lineRule="auto"/>
        <w:ind w:firstLine="480"/>
        <w:rPr>
          <w:rFonts w:ascii="宋体" w:hAnsi="宋体"/>
          <w:szCs w:val="21"/>
        </w:rPr>
      </w:pPr>
      <w:r>
        <w:rPr>
          <w:rFonts w:hint="eastAsia" w:ascii="宋体" w:hAnsi="宋体"/>
          <w:szCs w:val="21"/>
          <w:u w:val="single"/>
        </w:rPr>
        <w:t>本授权书自签署之日起生效，在撤销授权的书面通知以前，本授权书一直有效。委托代理人在授权书有效期内签署的所有文件不因授权的撤销而失效。</w:t>
      </w:r>
    </w:p>
    <w:p w14:paraId="2CC1E686">
      <w:pPr>
        <w:snapToGrid w:val="0"/>
        <w:spacing w:beforeLines="50" w:after="50"/>
        <w:ind w:firstLine="480"/>
        <w:rPr>
          <w:rFonts w:ascii="宋体" w:hAnsi="宋体"/>
          <w:szCs w:val="21"/>
        </w:rPr>
      </w:pPr>
      <w:r>
        <w:rPr>
          <w:rFonts w:hint="eastAsia" w:ascii="宋体" w:hAnsi="宋体"/>
          <w:szCs w:val="21"/>
        </w:rPr>
        <w:t>委托代理人无转委托权，特此委托。</w:t>
      </w:r>
    </w:p>
    <w:p w14:paraId="5C751CC4">
      <w:pPr>
        <w:snapToGrid w:val="0"/>
        <w:spacing w:beforeLines="50" w:after="50"/>
        <w:ind w:firstLine="480"/>
        <w:rPr>
          <w:rFonts w:ascii="宋体" w:hAnsi="宋体"/>
          <w:szCs w:val="21"/>
        </w:rPr>
      </w:pPr>
      <w:r>
        <w:rPr>
          <w:rFonts w:hint="eastAsia" w:ascii="宋体" w:hAnsi="宋体"/>
          <w:szCs w:val="21"/>
        </w:rPr>
        <w:t>附：法定代表人身份证明及委托代理人有效身份证正反面复印件</w:t>
      </w:r>
    </w:p>
    <w:p w14:paraId="57864951">
      <w:pPr>
        <w:snapToGrid w:val="0"/>
        <w:spacing w:beforeLines="50" w:after="50"/>
        <w:rPr>
          <w:rFonts w:ascii="宋体" w:hAnsi="宋体"/>
          <w:szCs w:val="21"/>
        </w:rPr>
      </w:pPr>
    </w:p>
    <w:p w14:paraId="632B60C2">
      <w:pPr>
        <w:snapToGrid w:val="0"/>
        <w:spacing w:beforeLines="50" w:after="50"/>
        <w:rPr>
          <w:rFonts w:ascii="宋体" w:hAnsi="宋体"/>
          <w:szCs w:val="21"/>
          <w:u w:val="single"/>
        </w:rPr>
      </w:pPr>
      <w:r>
        <w:rPr>
          <w:rFonts w:hint="eastAsia" w:ascii="宋体" w:hAnsi="宋体"/>
          <w:szCs w:val="21"/>
        </w:rPr>
        <w:t>委托代理人签字：            法定代表人签字：</w:t>
      </w:r>
    </w:p>
    <w:p w14:paraId="0726E59F">
      <w:pPr>
        <w:snapToGrid w:val="0"/>
        <w:spacing w:beforeLines="50" w:after="50"/>
        <w:rPr>
          <w:rFonts w:ascii="宋体" w:hAnsi="宋体"/>
          <w:szCs w:val="21"/>
        </w:rPr>
      </w:pPr>
      <w:r>
        <w:rPr>
          <w:rFonts w:hint="eastAsia" w:ascii="宋体" w:hAnsi="宋体"/>
          <w:szCs w:val="21"/>
        </w:rPr>
        <w:t>所在部门职务：                      职务：</w:t>
      </w:r>
    </w:p>
    <w:p w14:paraId="5AA86133">
      <w:pPr>
        <w:snapToGrid w:val="0"/>
        <w:spacing w:beforeLines="50" w:after="50"/>
        <w:rPr>
          <w:rFonts w:ascii="宋体" w:hAnsi="宋体"/>
          <w:szCs w:val="21"/>
        </w:rPr>
      </w:pPr>
      <w:r>
        <w:rPr>
          <w:rFonts w:hint="eastAsia" w:ascii="宋体" w:hAnsi="宋体"/>
          <w:szCs w:val="21"/>
        </w:rPr>
        <w:t>委托代理人身份证号码：</w:t>
      </w:r>
    </w:p>
    <w:p w14:paraId="7FB06F7A">
      <w:pPr>
        <w:snapToGrid w:val="0"/>
        <w:spacing w:before="50" w:after="50" w:line="360" w:lineRule="auto"/>
        <w:ind w:left="-6" w:leftChars="-15" w:right="-817" w:rightChars="-389" w:hanging="25" w:hangingChars="12"/>
        <w:jc w:val="left"/>
        <w:rPr>
          <w:rFonts w:ascii="宋体" w:hAnsi="宋体"/>
          <w:b/>
          <w:bCs/>
          <w:szCs w:val="21"/>
          <w:u w:val="single"/>
        </w:rPr>
      </w:pPr>
    </w:p>
    <w:p w14:paraId="45328B4E">
      <w:pPr>
        <w:snapToGrid w:val="0"/>
        <w:spacing w:before="50" w:after="50" w:line="480" w:lineRule="auto"/>
        <w:ind w:left="-6" w:leftChars="-15" w:right="-817" w:rightChars="-389" w:hanging="25" w:hangingChars="12"/>
        <w:jc w:val="left"/>
        <w:rPr>
          <w:rFonts w:ascii="宋体" w:hAnsi="宋体"/>
          <w:b/>
          <w:bCs/>
          <w:szCs w:val="21"/>
        </w:rPr>
      </w:pPr>
      <w:r>
        <w:rPr>
          <w:rFonts w:hint="eastAsia" w:ascii="宋体" w:hAnsi="宋体"/>
          <w:b/>
          <w:bCs/>
          <w:szCs w:val="21"/>
        </w:rPr>
        <w:t>投标人(公章或电子签章)：</w:t>
      </w:r>
    </w:p>
    <w:p w14:paraId="11F0E503">
      <w:pPr>
        <w:snapToGrid w:val="0"/>
        <w:spacing w:before="50" w:after="50" w:line="480" w:lineRule="auto"/>
        <w:ind w:left="-6" w:leftChars="-15" w:right="-817" w:rightChars="-389" w:hanging="25" w:hangingChars="12"/>
        <w:jc w:val="left"/>
        <w:rPr>
          <w:rFonts w:ascii="宋体" w:hAnsi="宋体"/>
          <w:sz w:val="20"/>
          <w:szCs w:val="22"/>
        </w:rPr>
      </w:pPr>
      <w:r>
        <w:rPr>
          <w:rFonts w:hint="eastAsia" w:ascii="宋体" w:hAnsi="宋体"/>
          <w:b/>
          <w:bCs/>
          <w:szCs w:val="21"/>
        </w:rPr>
        <w:t>日期：    年   月   日</w:t>
      </w:r>
    </w:p>
    <w:p w14:paraId="5ACE7EFA">
      <w:pPr>
        <w:snapToGrid w:val="0"/>
        <w:spacing w:beforeLines="50" w:after="50"/>
        <w:jc w:val="center"/>
        <w:rPr>
          <w:rFonts w:ascii="宋体" w:hAnsi="宋体"/>
          <w:szCs w:val="21"/>
        </w:rPr>
      </w:pPr>
    </w:p>
    <w:p w14:paraId="7827C7DA">
      <w:pPr>
        <w:snapToGrid w:val="0"/>
        <w:spacing w:beforeLines="50" w:after="50"/>
        <w:jc w:val="center"/>
        <w:rPr>
          <w:rFonts w:ascii="宋体" w:hAnsi="宋体"/>
          <w:szCs w:val="21"/>
        </w:rPr>
      </w:pPr>
    </w:p>
    <w:p w14:paraId="658579B6">
      <w:pPr>
        <w:snapToGrid w:val="0"/>
        <w:spacing w:beforeLines="50" w:after="50"/>
        <w:jc w:val="center"/>
        <w:rPr>
          <w:rFonts w:ascii="宋体" w:hAnsi="宋体"/>
          <w:szCs w:val="21"/>
        </w:rPr>
      </w:pPr>
    </w:p>
    <w:p w14:paraId="361B8801">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注：1.法定代表人必须在授权委托书上签字或者盖章或者电子签名，委托代理人必须在授权委托书上签字或者电子签名，</w:t>
      </w:r>
      <w:r>
        <w:rPr>
          <w:rFonts w:hint="eastAsia" w:ascii="仿宋_GB2312" w:hAnsi="仿宋_GB2312" w:eastAsia="仿宋_GB2312" w:cs="仿宋_GB2312"/>
          <w:b/>
          <w:bCs/>
          <w:szCs w:val="21"/>
        </w:rPr>
        <w:t>否则按无效投标处理</w:t>
      </w:r>
      <w:r>
        <w:rPr>
          <w:rFonts w:hint="eastAsia" w:ascii="仿宋_GB2312" w:hAnsi="仿宋_GB2312" w:eastAsia="仿宋_GB2312" w:cs="仿宋_GB2312"/>
          <w:szCs w:val="21"/>
        </w:rPr>
        <w:t>；</w:t>
      </w:r>
    </w:p>
    <w:p w14:paraId="3C9B4E90">
      <w:pPr>
        <w:spacing w:line="360" w:lineRule="auto"/>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2.以联合体形式投标的，本授权委托书应由联合体牵头人的法定代表人按上述规定签署。</w:t>
      </w:r>
    </w:p>
    <w:p w14:paraId="6662989F">
      <w:pPr>
        <w:snapToGrid w:val="0"/>
        <w:spacing w:before="50" w:afterLines="50" w:line="360" w:lineRule="auto"/>
        <w:ind w:firstLine="420" w:firstLineChars="200"/>
        <w:jc w:val="left"/>
        <w:rPr>
          <w:rFonts w:ascii="宋体" w:hAnsi="宋体"/>
          <w:szCs w:val="21"/>
        </w:rPr>
      </w:pPr>
      <w:r>
        <w:rPr>
          <w:rFonts w:hint="eastAsia" w:ascii="仿宋_GB2312" w:hAnsi="仿宋_GB2312" w:eastAsia="仿宋_GB2312" w:cs="仿宋_GB2312"/>
          <w:szCs w:val="21"/>
        </w:rPr>
        <w:t>3</w:t>
      </w:r>
      <w:r>
        <w:rPr>
          <w:rFonts w:ascii="仿宋_GB2312" w:hAnsi="仿宋_GB2312" w:eastAsia="仿宋_GB2312" w:cs="仿宋_GB2312"/>
          <w:szCs w:val="21"/>
        </w:rPr>
        <w:t>.</w:t>
      </w:r>
      <w:r>
        <w:rPr>
          <w:rFonts w:hint="eastAsia" w:ascii="仿宋_GB2312" w:hAnsi="仿宋_GB2312" w:eastAsia="仿宋_GB2312" w:cs="仿宋_GB2312"/>
          <w:szCs w:val="21"/>
        </w:rPr>
        <w:t>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3F2F54B7">
      <w:pPr>
        <w:snapToGrid w:val="0"/>
        <w:spacing w:beforeLines="50" w:after="50" w:line="360" w:lineRule="auto"/>
        <w:ind w:firstLine="495" w:firstLineChars="236"/>
        <w:jc w:val="center"/>
        <w:rPr>
          <w:rFonts w:ascii="宋体" w:hAnsi="宋体"/>
          <w:b/>
          <w:bCs/>
          <w:sz w:val="24"/>
        </w:rPr>
      </w:pPr>
      <w:r>
        <w:rPr>
          <w:rFonts w:ascii="宋体" w:hAnsi="宋体"/>
          <w:szCs w:val="21"/>
        </w:rPr>
        <w:br w:type="page"/>
      </w:r>
      <w:r>
        <w:rPr>
          <w:rFonts w:hint="eastAsia" w:ascii="宋体" w:hAnsi="宋体"/>
          <w:b/>
          <w:bCs/>
          <w:sz w:val="24"/>
        </w:rPr>
        <w:t>法定代表人授权委托书</w:t>
      </w:r>
    </w:p>
    <w:p w14:paraId="266BF11B">
      <w:pPr>
        <w:snapToGrid w:val="0"/>
        <w:spacing w:beforeLines="50" w:after="50"/>
        <w:ind w:firstLine="569" w:firstLineChars="236"/>
        <w:jc w:val="center"/>
        <w:rPr>
          <w:rFonts w:ascii="宋体" w:hAnsi="宋体"/>
          <w:b/>
          <w:bCs/>
          <w:sz w:val="24"/>
        </w:rPr>
      </w:pPr>
      <w:r>
        <w:rPr>
          <w:rFonts w:hint="eastAsia" w:ascii="宋体" w:hAnsi="宋体"/>
          <w:b/>
          <w:bCs/>
          <w:sz w:val="24"/>
        </w:rPr>
        <w:t>（联合体投标格式）</w:t>
      </w:r>
    </w:p>
    <w:p w14:paraId="2A53FB9A">
      <w:pPr>
        <w:snapToGrid w:val="0"/>
        <w:spacing w:beforeLines="50" w:after="50"/>
        <w:ind w:firstLine="569" w:firstLineChars="236"/>
        <w:jc w:val="center"/>
        <w:rPr>
          <w:rFonts w:ascii="宋体" w:hAnsi="宋体"/>
          <w:szCs w:val="21"/>
        </w:rPr>
      </w:pPr>
      <w:r>
        <w:rPr>
          <w:rFonts w:hint="eastAsia" w:ascii="宋体" w:hAnsi="宋体"/>
          <w:b/>
          <w:bCs/>
          <w:sz w:val="24"/>
        </w:rPr>
        <w:t>（如有委托时）</w:t>
      </w:r>
    </w:p>
    <w:p w14:paraId="40AF994F">
      <w:pPr>
        <w:snapToGrid w:val="0"/>
        <w:spacing w:beforeLines="50" w:after="50"/>
        <w:jc w:val="left"/>
        <w:rPr>
          <w:rFonts w:ascii="宋体" w:hAnsi="宋体"/>
          <w:szCs w:val="21"/>
        </w:rPr>
      </w:pPr>
      <w:r>
        <w:rPr>
          <w:rFonts w:hint="eastAsia" w:ascii="宋体" w:hAnsi="宋体"/>
          <w:bCs/>
          <w:szCs w:val="21"/>
        </w:rPr>
        <w:t>致：</w:t>
      </w:r>
      <w:r>
        <w:rPr>
          <w:rFonts w:hint="eastAsia" w:ascii="宋体" w:hAnsi="宋体"/>
          <w:szCs w:val="21"/>
          <w:u w:val="single"/>
        </w:rPr>
        <w:t>采购人名称</w:t>
      </w:r>
      <w:r>
        <w:rPr>
          <w:rFonts w:hint="eastAsia" w:ascii="宋体" w:hAnsi="宋体"/>
          <w:szCs w:val="21"/>
        </w:rPr>
        <w:t>：</w:t>
      </w:r>
    </w:p>
    <w:p w14:paraId="1F72A0EB">
      <w:pPr>
        <w:snapToGrid w:val="0"/>
        <w:spacing w:beforeLines="50" w:after="50" w:line="360" w:lineRule="auto"/>
        <w:ind w:firstLine="495" w:firstLineChars="236"/>
        <w:rPr>
          <w:rFonts w:ascii="宋体" w:hAnsi="宋体"/>
          <w:szCs w:val="21"/>
        </w:rPr>
      </w:pPr>
      <w:r>
        <w:rPr>
          <w:rFonts w:hint="eastAsia" w:ascii="宋体" w:hAnsi="宋体"/>
          <w:szCs w:val="21"/>
        </w:rPr>
        <w:t xml:space="preserve">根据 </w:t>
      </w:r>
      <w:r>
        <w:rPr>
          <w:rFonts w:hint="eastAsia" w:ascii="宋体" w:hAnsi="宋体"/>
          <w:szCs w:val="21"/>
          <w:u w:val="single"/>
        </w:rPr>
        <w:t xml:space="preserve"> （牵头人名称）</w:t>
      </w:r>
      <w:r>
        <w:rPr>
          <w:rFonts w:hint="eastAsia" w:ascii="宋体" w:hAnsi="宋体"/>
          <w:szCs w:val="21"/>
        </w:rPr>
        <w:t>与</w:t>
      </w:r>
      <w:r>
        <w:rPr>
          <w:rFonts w:hint="eastAsia" w:ascii="宋体" w:hAnsi="宋体"/>
          <w:szCs w:val="21"/>
          <w:u w:val="single"/>
        </w:rPr>
        <w:t>（联合体其他成员名称）</w:t>
      </w:r>
      <w:r>
        <w:rPr>
          <w:rFonts w:hint="eastAsia" w:ascii="宋体" w:hAnsi="宋体"/>
          <w:szCs w:val="21"/>
        </w:rPr>
        <w:t>签订的《联合体投标协议书》的内容，</w:t>
      </w:r>
      <w:r>
        <w:rPr>
          <w:rFonts w:hint="eastAsia" w:ascii="宋体" w:hAnsi="宋体"/>
          <w:szCs w:val="21"/>
          <w:u w:val="single"/>
        </w:rPr>
        <w:t>（牵头人名称）</w:t>
      </w:r>
      <w:r>
        <w:rPr>
          <w:rFonts w:hint="eastAsia" w:ascii="宋体" w:hAnsi="宋体"/>
          <w:szCs w:val="21"/>
        </w:rPr>
        <w:t>的法定代表人</w:t>
      </w:r>
      <w:r>
        <w:rPr>
          <w:rFonts w:hint="eastAsia" w:ascii="宋体" w:hAnsi="宋体"/>
          <w:szCs w:val="21"/>
          <w:u w:val="single"/>
        </w:rPr>
        <w:t>（姓名）</w:t>
      </w:r>
      <w:r>
        <w:rPr>
          <w:rFonts w:hint="eastAsia" w:ascii="宋体" w:hAnsi="宋体"/>
          <w:szCs w:val="21"/>
        </w:rPr>
        <w:t>现授权委托</w:t>
      </w:r>
      <w:r>
        <w:rPr>
          <w:rFonts w:hint="eastAsia" w:ascii="宋体" w:hAnsi="宋体"/>
          <w:szCs w:val="21"/>
          <w:u w:val="single"/>
        </w:rPr>
        <w:t xml:space="preserve">              （姓名）</w:t>
      </w:r>
      <w:r>
        <w:rPr>
          <w:rFonts w:hint="eastAsia" w:ascii="宋体" w:hAnsi="宋体"/>
          <w:szCs w:val="21"/>
        </w:rPr>
        <w:t>以我方的名义参加项目的投标活动，并代表我方全权办理针对上述项目的所有采购程序和环节的具体事务和签署相关文件。</w:t>
      </w:r>
    </w:p>
    <w:p w14:paraId="648ED329">
      <w:pPr>
        <w:snapToGrid w:val="0"/>
        <w:spacing w:beforeLines="50" w:after="50" w:line="360" w:lineRule="auto"/>
        <w:ind w:firstLine="495" w:firstLineChars="236"/>
        <w:rPr>
          <w:rFonts w:ascii="宋体" w:hAnsi="宋体"/>
          <w:szCs w:val="21"/>
        </w:rPr>
      </w:pPr>
      <w:r>
        <w:rPr>
          <w:rFonts w:hint="eastAsia" w:ascii="宋体" w:hAnsi="宋体"/>
          <w:szCs w:val="21"/>
        </w:rPr>
        <w:t>我方对委托代理人的签字事项负全部责任。</w:t>
      </w:r>
    </w:p>
    <w:p w14:paraId="53FF7133">
      <w:pPr>
        <w:snapToGrid w:val="0"/>
        <w:spacing w:beforeLines="50" w:after="50" w:line="360" w:lineRule="auto"/>
        <w:ind w:firstLine="495" w:firstLineChars="236"/>
        <w:rPr>
          <w:rFonts w:ascii="宋体" w:hAnsi="宋体"/>
          <w:szCs w:val="21"/>
        </w:rPr>
      </w:pPr>
      <w:r>
        <w:rPr>
          <w:rFonts w:hint="eastAsia" w:ascii="宋体" w:hAnsi="宋体"/>
          <w:szCs w:val="21"/>
        </w:rPr>
        <w:t>本授权书自签署之日起生效，在撤销授权的书面通知以前，本授权书一直有效。委托代理人在授权书有效期内签署的所有文件不因授权的撤销而失效。</w:t>
      </w:r>
    </w:p>
    <w:p w14:paraId="01340811">
      <w:pPr>
        <w:snapToGrid w:val="0"/>
        <w:spacing w:beforeLines="50" w:after="50" w:line="360" w:lineRule="auto"/>
        <w:ind w:firstLine="495" w:firstLineChars="236"/>
        <w:rPr>
          <w:rFonts w:ascii="宋体" w:hAnsi="宋体"/>
          <w:szCs w:val="21"/>
        </w:rPr>
      </w:pPr>
      <w:r>
        <w:rPr>
          <w:rFonts w:hint="eastAsia" w:ascii="宋体" w:hAnsi="宋体"/>
          <w:szCs w:val="21"/>
        </w:rPr>
        <w:t>委托代理人无转委托权，特此委托。</w:t>
      </w:r>
    </w:p>
    <w:p w14:paraId="5E90CE08">
      <w:pPr>
        <w:snapToGrid w:val="0"/>
        <w:spacing w:beforeLines="50" w:after="50" w:line="360" w:lineRule="auto"/>
        <w:ind w:firstLine="495" w:firstLineChars="236"/>
        <w:rPr>
          <w:rFonts w:ascii="宋体" w:hAnsi="宋体"/>
          <w:szCs w:val="21"/>
        </w:rPr>
      </w:pPr>
      <w:r>
        <w:rPr>
          <w:rFonts w:hint="eastAsia" w:ascii="宋体" w:hAnsi="宋体"/>
          <w:szCs w:val="21"/>
        </w:rPr>
        <w:t>附：牵头人法定代表人身份证明及委托代理人有效身份证正反面复印件</w:t>
      </w:r>
    </w:p>
    <w:p w14:paraId="0A9677D3">
      <w:pPr>
        <w:snapToGrid w:val="0"/>
        <w:spacing w:beforeLines="50" w:after="50"/>
        <w:ind w:firstLine="495" w:firstLineChars="236"/>
        <w:rPr>
          <w:rFonts w:ascii="宋体" w:hAnsi="宋体"/>
          <w:szCs w:val="21"/>
        </w:rPr>
      </w:pPr>
    </w:p>
    <w:p w14:paraId="0B07A761">
      <w:pPr>
        <w:snapToGrid w:val="0"/>
        <w:spacing w:beforeLines="50" w:after="50"/>
        <w:ind w:firstLine="495" w:firstLineChars="236"/>
        <w:rPr>
          <w:rFonts w:ascii="宋体" w:hAnsi="宋体"/>
          <w:szCs w:val="21"/>
        </w:rPr>
      </w:pPr>
      <w:r>
        <w:rPr>
          <w:rFonts w:hint="eastAsia" w:ascii="宋体" w:hAnsi="宋体"/>
          <w:szCs w:val="21"/>
        </w:rPr>
        <w:t>牵头人法定代表人（签字）：</w:t>
      </w:r>
    </w:p>
    <w:p w14:paraId="4B48F73B">
      <w:pPr>
        <w:snapToGrid w:val="0"/>
        <w:spacing w:beforeLines="50" w:after="50"/>
        <w:ind w:firstLine="495" w:firstLineChars="236"/>
        <w:rPr>
          <w:rFonts w:ascii="宋体" w:hAnsi="宋体"/>
          <w:szCs w:val="21"/>
        </w:rPr>
      </w:pPr>
      <w:r>
        <w:rPr>
          <w:rFonts w:hint="eastAsia" w:ascii="宋体" w:hAnsi="宋体"/>
          <w:szCs w:val="21"/>
        </w:rPr>
        <w:t>牵头人（盖公章）：</w:t>
      </w:r>
    </w:p>
    <w:p w14:paraId="0C98C2A8">
      <w:pPr>
        <w:snapToGrid w:val="0"/>
        <w:spacing w:beforeLines="50" w:after="50"/>
        <w:ind w:firstLine="495" w:firstLineChars="236"/>
        <w:rPr>
          <w:rFonts w:ascii="宋体" w:hAnsi="宋体"/>
          <w:szCs w:val="21"/>
        </w:rPr>
      </w:pPr>
      <w:r>
        <w:rPr>
          <w:rFonts w:hint="eastAsia" w:ascii="宋体" w:hAnsi="宋体"/>
          <w:szCs w:val="21"/>
        </w:rPr>
        <w:t>日期：    年   月   日</w:t>
      </w:r>
    </w:p>
    <w:p w14:paraId="3CDB6D02">
      <w:pPr>
        <w:snapToGrid w:val="0"/>
        <w:spacing w:beforeLines="50" w:after="50"/>
        <w:ind w:firstLine="495" w:firstLineChars="236"/>
        <w:rPr>
          <w:rFonts w:ascii="宋体" w:hAnsi="宋体"/>
          <w:szCs w:val="21"/>
        </w:rPr>
      </w:pPr>
    </w:p>
    <w:p w14:paraId="13F7C79E">
      <w:pPr>
        <w:snapToGrid w:val="0"/>
        <w:spacing w:beforeLines="50" w:after="50"/>
        <w:ind w:firstLine="495" w:firstLineChars="236"/>
        <w:rPr>
          <w:rFonts w:ascii="宋体" w:hAnsi="宋体"/>
          <w:szCs w:val="21"/>
        </w:rPr>
      </w:pPr>
      <w:r>
        <w:rPr>
          <w:rFonts w:hint="eastAsia" w:ascii="宋体" w:hAnsi="宋体"/>
          <w:szCs w:val="21"/>
        </w:rPr>
        <w:t>被授权人（签字）：</w:t>
      </w:r>
    </w:p>
    <w:p w14:paraId="20B24E76">
      <w:pPr>
        <w:snapToGrid w:val="0"/>
        <w:spacing w:beforeLines="50" w:after="50"/>
        <w:ind w:firstLine="495" w:firstLineChars="236"/>
        <w:rPr>
          <w:rFonts w:ascii="仿宋_GB2312" w:hAnsi="仿宋_GB2312" w:eastAsia="仿宋_GB2312" w:cs="仿宋_GB2312"/>
          <w:sz w:val="24"/>
        </w:rPr>
      </w:pPr>
      <w:r>
        <w:rPr>
          <w:rFonts w:hint="eastAsia" w:ascii="宋体" w:hAnsi="宋体"/>
          <w:szCs w:val="21"/>
        </w:rPr>
        <w:t>日期：    年   月   日</w:t>
      </w:r>
    </w:p>
    <w:p w14:paraId="241F10BD">
      <w:pPr>
        <w:spacing w:line="360" w:lineRule="auto"/>
        <w:rPr>
          <w:rFonts w:ascii="仿宋_GB2312" w:hAnsi="仿宋_GB2312" w:eastAsia="仿宋_GB2312" w:cs="仿宋_GB2312"/>
          <w:szCs w:val="21"/>
        </w:rPr>
      </w:pPr>
    </w:p>
    <w:p w14:paraId="3F22D9B7">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注：1.法定代表人必须在授权委托书上签字或者盖章或者电子签名，委托代理人必须在授权委托书上签字或者电子签名，</w:t>
      </w:r>
      <w:r>
        <w:rPr>
          <w:rFonts w:hint="eastAsia" w:ascii="仿宋_GB2312" w:hAnsi="仿宋_GB2312" w:eastAsia="仿宋_GB2312" w:cs="仿宋_GB2312"/>
          <w:b/>
          <w:bCs/>
          <w:szCs w:val="21"/>
        </w:rPr>
        <w:t>否则按无效投标处理</w:t>
      </w:r>
      <w:r>
        <w:rPr>
          <w:rFonts w:hint="eastAsia" w:ascii="仿宋_GB2312" w:hAnsi="仿宋_GB2312" w:eastAsia="仿宋_GB2312" w:cs="仿宋_GB2312"/>
          <w:szCs w:val="21"/>
        </w:rPr>
        <w:t>；</w:t>
      </w:r>
    </w:p>
    <w:p w14:paraId="4AF2A51D">
      <w:pPr>
        <w:spacing w:line="360" w:lineRule="auto"/>
        <w:ind w:firstLine="420" w:firstLineChars="200"/>
        <w:jc w:val="left"/>
        <w:rPr>
          <w:rFonts w:ascii="仿宋_GB2312" w:hAnsi="仿宋_GB2312" w:eastAsia="仿宋_GB2312" w:cs="仿宋_GB2312"/>
          <w:szCs w:val="21"/>
        </w:rPr>
      </w:pPr>
      <w:r>
        <w:rPr>
          <w:rFonts w:hint="eastAsia" w:ascii="仿宋_GB2312" w:hAnsi="仿宋_GB2312" w:eastAsia="仿宋_GB2312" w:cs="仿宋_GB2312"/>
          <w:szCs w:val="21"/>
        </w:rPr>
        <w:t>2.以联合体形式投标的，本授权委托书应由联合体牵头人的法定代表人按上述规定签署。</w:t>
      </w:r>
    </w:p>
    <w:p w14:paraId="4C7DD27A">
      <w:pPr>
        <w:snapToGrid w:val="0"/>
        <w:spacing w:before="50" w:afterLines="50" w:line="360" w:lineRule="auto"/>
        <w:ind w:firstLine="420" w:firstLineChars="200"/>
        <w:jc w:val="left"/>
        <w:rPr>
          <w:rFonts w:ascii="宋体" w:hAnsi="宋体"/>
          <w:szCs w:val="21"/>
        </w:rPr>
        <w:sectPr>
          <w:footerReference r:id="rId16" w:type="first"/>
          <w:footerReference r:id="rId15" w:type="default"/>
          <w:pgSz w:w="11906" w:h="16838"/>
          <w:pgMar w:top="1134" w:right="1247" w:bottom="1560" w:left="1247" w:header="851" w:footer="992" w:gutter="0"/>
          <w:cols w:space="720" w:num="1"/>
          <w:titlePg/>
          <w:docGrid w:linePitch="312" w:charSpace="0"/>
        </w:sectPr>
      </w:pPr>
      <w:r>
        <w:rPr>
          <w:rFonts w:hint="eastAsia" w:ascii="仿宋_GB2312" w:hAnsi="仿宋_GB2312" w:eastAsia="仿宋_GB2312" w:cs="仿宋_GB2312"/>
          <w:szCs w:val="21"/>
        </w:rPr>
        <w:t>3</w:t>
      </w:r>
      <w:r>
        <w:rPr>
          <w:rFonts w:ascii="仿宋_GB2312" w:hAnsi="仿宋_GB2312" w:eastAsia="仿宋_GB2312" w:cs="仿宋_GB2312"/>
          <w:szCs w:val="21"/>
        </w:rPr>
        <w:t>.</w:t>
      </w:r>
      <w:r>
        <w:rPr>
          <w:rFonts w:hint="eastAsia" w:ascii="仿宋_GB2312" w:hAnsi="仿宋_GB2312" w:eastAsia="仿宋_GB2312" w:cs="仿宋_GB2312"/>
          <w:szCs w:val="21"/>
        </w:rPr>
        <w:t xml:space="preserve"> 供应商为其他组织或者自然人时，本招标文件规定的法定代表人指负责人或者自然人。本招标文件所称负责人是指参加投标的其他组织营业执照上的负责人，本招标文件所称自然人指参与投标的自然人本</w:t>
      </w:r>
    </w:p>
    <w:p w14:paraId="386A7573">
      <w:pPr>
        <w:rPr>
          <w:rFonts w:ascii="宋体" w:hAnsi="宋体"/>
          <w:b/>
          <w:sz w:val="24"/>
          <w:szCs w:val="20"/>
        </w:rPr>
      </w:pPr>
      <w:r>
        <w:rPr>
          <w:rFonts w:hint="eastAsia" w:ascii="宋体" w:hAnsi="宋体"/>
          <w:b/>
          <w:sz w:val="24"/>
        </w:rPr>
        <w:t>4.商务条款偏离表(注：按项目需求表具体项目修改)</w:t>
      </w:r>
    </w:p>
    <w:p w14:paraId="62B507ED">
      <w:pPr>
        <w:snapToGrid w:val="0"/>
        <w:spacing w:before="50"/>
        <w:jc w:val="left"/>
        <w:rPr>
          <w:rFonts w:ascii="宋体" w:hAnsi="宋体"/>
          <w:sz w:val="24"/>
        </w:rPr>
      </w:pPr>
    </w:p>
    <w:p w14:paraId="173AD6B2">
      <w:pPr>
        <w:pStyle w:val="15"/>
        <w:rPr>
          <w:rFonts w:hAnsi="宋体"/>
          <w:sz w:val="21"/>
        </w:rPr>
      </w:pPr>
      <w:r>
        <w:rPr>
          <w:rFonts w:hint="eastAsia" w:hAnsi="宋体"/>
          <w:sz w:val="21"/>
        </w:rPr>
        <w:t>所投分标：</w:t>
      </w:r>
      <w:r>
        <w:rPr>
          <w:rFonts w:hint="eastAsia" w:hAnsi="宋体"/>
          <w:sz w:val="21"/>
          <w:u w:val="single"/>
        </w:rPr>
        <w:t>标项</w:t>
      </w:r>
    </w:p>
    <w:p w14:paraId="649F6BA1">
      <w:pPr>
        <w:snapToGrid w:val="0"/>
        <w:spacing w:before="50"/>
        <w:jc w:val="left"/>
        <w:rPr>
          <w:rFonts w:ascii="宋体" w:hAnsi="宋体"/>
          <w:szCs w:val="21"/>
          <w:u w:val="single"/>
        </w:rPr>
      </w:pPr>
    </w:p>
    <w:tbl>
      <w:tblPr>
        <w:tblStyle w:val="25"/>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30FC7C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tcPr>
          <w:p w14:paraId="73EA4F7C">
            <w:pPr>
              <w:snapToGrid w:val="0"/>
              <w:spacing w:beforeLines="50"/>
              <w:jc w:val="center"/>
              <w:rPr>
                <w:rFonts w:ascii="宋体" w:hAnsi="宋体"/>
                <w:b/>
                <w:bCs/>
                <w:szCs w:val="21"/>
              </w:rPr>
            </w:pPr>
            <w:r>
              <w:rPr>
                <w:rFonts w:hint="eastAsia" w:ascii="宋体" w:hAnsi="宋体"/>
                <w:b/>
                <w:bCs/>
                <w:szCs w:val="21"/>
              </w:rPr>
              <w:t>项目</w:t>
            </w:r>
          </w:p>
        </w:tc>
        <w:tc>
          <w:tcPr>
            <w:tcW w:w="3336" w:type="dxa"/>
            <w:tcBorders>
              <w:top w:val="single" w:color="auto" w:sz="4" w:space="0"/>
              <w:left w:val="single" w:color="auto" w:sz="4" w:space="0"/>
              <w:bottom w:val="single" w:color="auto" w:sz="4" w:space="0"/>
              <w:right w:val="single" w:color="auto" w:sz="4" w:space="0"/>
            </w:tcBorders>
          </w:tcPr>
          <w:p w14:paraId="35C74C57">
            <w:pPr>
              <w:snapToGrid w:val="0"/>
              <w:spacing w:beforeLines="50"/>
              <w:jc w:val="center"/>
              <w:rPr>
                <w:rFonts w:ascii="宋体" w:hAnsi="宋体"/>
                <w:b/>
                <w:bCs/>
                <w:szCs w:val="21"/>
              </w:rPr>
            </w:pPr>
            <w:r>
              <w:rPr>
                <w:rFonts w:hint="eastAsia" w:ascii="宋体" w:hAnsi="宋体"/>
                <w:b/>
                <w:bCs/>
                <w:szCs w:val="21"/>
              </w:rPr>
              <w:t>招标文件商务条款要求</w:t>
            </w:r>
          </w:p>
        </w:tc>
        <w:tc>
          <w:tcPr>
            <w:tcW w:w="1760" w:type="dxa"/>
            <w:tcBorders>
              <w:top w:val="single" w:color="auto" w:sz="4" w:space="0"/>
              <w:left w:val="single" w:color="auto" w:sz="4" w:space="0"/>
              <w:bottom w:val="single" w:color="auto" w:sz="4" w:space="0"/>
              <w:right w:val="single" w:color="auto" w:sz="4" w:space="0"/>
            </w:tcBorders>
          </w:tcPr>
          <w:p w14:paraId="37E49772">
            <w:pPr>
              <w:snapToGrid w:val="0"/>
              <w:spacing w:beforeLines="50"/>
              <w:jc w:val="center"/>
              <w:rPr>
                <w:rFonts w:ascii="宋体" w:hAnsi="宋体"/>
                <w:b/>
                <w:bCs/>
                <w:szCs w:val="21"/>
              </w:rPr>
            </w:pPr>
            <w:r>
              <w:rPr>
                <w:rFonts w:hint="eastAsia" w:ascii="宋体" w:hAnsi="宋体"/>
                <w:b/>
                <w:bCs/>
                <w:szCs w:val="21"/>
              </w:rPr>
              <w:t>投标人的承诺</w:t>
            </w:r>
          </w:p>
        </w:tc>
        <w:tc>
          <w:tcPr>
            <w:tcW w:w="2035" w:type="dxa"/>
            <w:tcBorders>
              <w:top w:val="single" w:color="auto" w:sz="4" w:space="0"/>
              <w:left w:val="single" w:color="auto" w:sz="4" w:space="0"/>
              <w:bottom w:val="single" w:color="auto" w:sz="4" w:space="0"/>
              <w:right w:val="single" w:color="auto" w:sz="4" w:space="0"/>
            </w:tcBorders>
          </w:tcPr>
          <w:p w14:paraId="429EB847">
            <w:pPr>
              <w:snapToGrid w:val="0"/>
              <w:spacing w:beforeLines="50"/>
              <w:jc w:val="center"/>
              <w:rPr>
                <w:rFonts w:ascii="宋体" w:hAnsi="宋体"/>
                <w:b/>
                <w:bCs/>
                <w:szCs w:val="21"/>
              </w:rPr>
            </w:pPr>
            <w:r>
              <w:rPr>
                <w:rFonts w:hint="eastAsia" w:ascii="宋体" w:hAnsi="宋体"/>
                <w:b/>
                <w:bCs/>
                <w:szCs w:val="21"/>
              </w:rPr>
              <w:t>偏离说明</w:t>
            </w:r>
          </w:p>
        </w:tc>
      </w:tr>
      <w:tr w14:paraId="6F872B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10" w:type="dxa"/>
            <w:tcBorders>
              <w:top w:val="single" w:color="auto" w:sz="4" w:space="0"/>
              <w:left w:val="single" w:color="auto" w:sz="4" w:space="0"/>
              <w:bottom w:val="single" w:color="auto" w:sz="4" w:space="0"/>
              <w:right w:val="single" w:color="auto" w:sz="4" w:space="0"/>
            </w:tcBorders>
            <w:vAlign w:val="center"/>
          </w:tcPr>
          <w:p w14:paraId="00848122">
            <w:pPr>
              <w:pStyle w:val="33"/>
              <w:spacing w:before="172" w:line="156" w:lineRule="exact"/>
              <w:ind w:left="118"/>
              <w:jc w:val="center"/>
              <w:rPr>
                <w:szCs w:val="21"/>
              </w:rPr>
            </w:pPr>
            <w:r>
              <w:rPr>
                <w:position w:val="-4"/>
              </w:rPr>
              <w:t>一</w:t>
            </w:r>
          </w:p>
        </w:tc>
        <w:tc>
          <w:tcPr>
            <w:tcW w:w="3336" w:type="dxa"/>
            <w:tcBorders>
              <w:top w:val="single" w:color="auto" w:sz="4" w:space="0"/>
              <w:left w:val="single" w:color="auto" w:sz="4" w:space="0"/>
              <w:bottom w:val="single" w:color="auto" w:sz="4" w:space="0"/>
              <w:right w:val="single" w:color="auto" w:sz="4" w:space="0"/>
            </w:tcBorders>
            <w:vAlign w:val="center"/>
          </w:tcPr>
          <w:p w14:paraId="5C5781B7">
            <w:pPr>
              <w:pStyle w:val="33"/>
              <w:spacing w:before="94" w:line="270" w:lineRule="exact"/>
              <w:ind w:left="126"/>
              <w:jc w:val="left"/>
            </w:pPr>
            <w:r>
              <w:rPr>
                <w:spacing w:val="-8"/>
                <w:position w:val="1"/>
              </w:rPr>
              <w:t>1……</w:t>
            </w:r>
          </w:p>
          <w:p w14:paraId="5F532ADD">
            <w:pPr>
              <w:pStyle w:val="33"/>
              <w:spacing w:before="68" w:line="270" w:lineRule="exact"/>
              <w:ind w:left="113"/>
              <w:jc w:val="left"/>
            </w:pPr>
            <w:r>
              <w:rPr>
                <w:spacing w:val="-4"/>
                <w:position w:val="1"/>
              </w:rPr>
              <w:t>2……</w:t>
            </w:r>
          </w:p>
          <w:p w14:paraId="77EEAC03">
            <w:pPr>
              <w:pStyle w:val="33"/>
              <w:spacing w:before="70" w:line="269" w:lineRule="exact"/>
              <w:ind w:left="115"/>
              <w:jc w:val="left"/>
            </w:pPr>
            <w:r>
              <w:rPr>
                <w:spacing w:val="-4"/>
                <w:position w:val="1"/>
              </w:rPr>
              <w:t>3……</w:t>
            </w:r>
          </w:p>
          <w:p w14:paraId="1B60A04A">
            <w:pPr>
              <w:spacing w:before="159" w:line="35" w:lineRule="exact"/>
              <w:ind w:firstLine="124"/>
              <w:jc w:val="left"/>
              <w:rPr>
                <w:rFonts w:ascii="宋体" w:hAnsi="宋体"/>
                <w:szCs w:val="21"/>
              </w:rPr>
            </w:pPr>
            <w:r>
              <w:drawing>
                <wp:inline distT="0" distB="0" distL="114300" distR="114300">
                  <wp:extent cx="227330" cy="21590"/>
                  <wp:effectExtent l="0" t="0" r="1270" b="3810"/>
                  <wp:docPr id="6" name="图片 1"/>
                  <wp:cNvGraphicFramePr/>
                  <a:graphic xmlns:a="http://schemas.openxmlformats.org/drawingml/2006/main">
                    <a:graphicData uri="http://schemas.openxmlformats.org/drawingml/2006/picture">
                      <pic:pic xmlns:pic="http://schemas.openxmlformats.org/drawingml/2006/picture">
                        <pic:nvPicPr>
                          <pic:cNvPr id="6" name="图片 1"/>
                          <pic:cNvPicPr/>
                        </pic:nvPicPr>
                        <pic:blipFill>
                          <a:blip r:embed="rId21" cstate="print"/>
                          <a:stretch>
                            <a:fillRect/>
                          </a:stretch>
                        </pic:blipFill>
                        <pic:spPr>
                          <a:xfrm>
                            <a:off x="0" y="0"/>
                            <a:ext cx="227330" cy="21590"/>
                          </a:xfrm>
                          <a:prstGeom prst="rect">
                            <a:avLst/>
                          </a:prstGeom>
                          <a:noFill/>
                          <a:ln>
                            <a:noFill/>
                          </a:ln>
                        </pic:spPr>
                      </pic:pic>
                    </a:graphicData>
                  </a:graphic>
                </wp:inline>
              </w:drawing>
            </w:r>
          </w:p>
        </w:tc>
        <w:tc>
          <w:tcPr>
            <w:tcW w:w="1760" w:type="dxa"/>
            <w:tcBorders>
              <w:top w:val="single" w:color="auto" w:sz="4" w:space="0"/>
              <w:left w:val="single" w:color="auto" w:sz="4" w:space="0"/>
              <w:bottom w:val="single" w:color="auto" w:sz="4" w:space="0"/>
              <w:right w:val="single" w:color="auto" w:sz="4" w:space="0"/>
            </w:tcBorders>
            <w:vAlign w:val="center"/>
          </w:tcPr>
          <w:p w14:paraId="6B715227">
            <w:pPr>
              <w:pStyle w:val="33"/>
              <w:spacing w:before="94" w:line="270" w:lineRule="exact"/>
              <w:ind w:left="129"/>
              <w:jc w:val="left"/>
            </w:pPr>
            <w:r>
              <w:rPr>
                <w:spacing w:val="-8"/>
                <w:position w:val="1"/>
              </w:rPr>
              <w:t>1……</w:t>
            </w:r>
          </w:p>
          <w:p w14:paraId="217AC8D9">
            <w:pPr>
              <w:pStyle w:val="33"/>
              <w:spacing w:before="68" w:line="270" w:lineRule="exact"/>
              <w:ind w:left="116"/>
              <w:jc w:val="left"/>
            </w:pPr>
            <w:r>
              <w:rPr>
                <w:spacing w:val="-4"/>
                <w:position w:val="1"/>
              </w:rPr>
              <w:t>2……</w:t>
            </w:r>
          </w:p>
          <w:p w14:paraId="77BDD8F3">
            <w:pPr>
              <w:pStyle w:val="33"/>
              <w:spacing w:before="70" w:line="269" w:lineRule="exact"/>
              <w:ind w:left="117"/>
              <w:jc w:val="left"/>
            </w:pPr>
            <w:r>
              <w:rPr>
                <w:spacing w:val="-4"/>
                <w:position w:val="1"/>
              </w:rPr>
              <w:t>3……</w:t>
            </w:r>
          </w:p>
          <w:p w14:paraId="7084D343">
            <w:pPr>
              <w:spacing w:before="159" w:line="35" w:lineRule="exact"/>
              <w:ind w:firstLine="126"/>
              <w:jc w:val="left"/>
              <w:rPr>
                <w:rFonts w:ascii="宋体" w:hAnsi="宋体"/>
                <w:szCs w:val="21"/>
              </w:rPr>
            </w:pPr>
            <w:r>
              <w:drawing>
                <wp:inline distT="0" distB="0" distL="114300" distR="114300">
                  <wp:extent cx="251460" cy="21590"/>
                  <wp:effectExtent l="0" t="0" r="2540" b="3810"/>
                  <wp:docPr id="11" name="图片 2"/>
                  <wp:cNvGraphicFramePr/>
                  <a:graphic xmlns:a="http://schemas.openxmlformats.org/drawingml/2006/main">
                    <a:graphicData uri="http://schemas.openxmlformats.org/drawingml/2006/picture">
                      <pic:pic xmlns:pic="http://schemas.openxmlformats.org/drawingml/2006/picture">
                        <pic:nvPicPr>
                          <pic:cNvPr id="11" name="图片 2"/>
                          <pic:cNvPicPr/>
                        </pic:nvPicPr>
                        <pic:blipFill>
                          <a:blip r:embed="rId22" cstate="print"/>
                          <a:stretch>
                            <a:fillRect/>
                          </a:stretch>
                        </pic:blipFill>
                        <pic:spPr>
                          <a:xfrm>
                            <a:off x="0" y="0"/>
                            <a:ext cx="251460" cy="21590"/>
                          </a:xfrm>
                          <a:prstGeom prst="rect">
                            <a:avLst/>
                          </a:prstGeom>
                          <a:noFill/>
                          <a:ln>
                            <a:noFill/>
                          </a:ln>
                        </pic:spPr>
                      </pic:pic>
                    </a:graphicData>
                  </a:graphic>
                </wp:inline>
              </w:drawing>
            </w:r>
          </w:p>
        </w:tc>
        <w:tc>
          <w:tcPr>
            <w:tcW w:w="2035" w:type="dxa"/>
            <w:tcBorders>
              <w:top w:val="single" w:color="auto" w:sz="4" w:space="0"/>
              <w:left w:val="single" w:color="auto" w:sz="4" w:space="0"/>
              <w:bottom w:val="single" w:color="auto" w:sz="4" w:space="0"/>
              <w:right w:val="single" w:color="auto" w:sz="4" w:space="0"/>
            </w:tcBorders>
            <w:vAlign w:val="center"/>
          </w:tcPr>
          <w:p w14:paraId="2F359579">
            <w:pPr>
              <w:pStyle w:val="33"/>
              <w:spacing w:before="60" w:line="228" w:lineRule="auto"/>
              <w:ind w:left="121"/>
              <w:jc w:val="center"/>
              <w:rPr>
                <w:szCs w:val="21"/>
                <w:lang w:eastAsia="zh-CN"/>
              </w:rPr>
            </w:pPr>
            <w:r>
              <w:rPr>
                <w:spacing w:val="8"/>
                <w:lang w:eastAsia="zh-CN"/>
              </w:rPr>
              <w:t>正偏离（负</w:t>
            </w:r>
            <w:r>
              <w:rPr>
                <w:spacing w:val="9"/>
                <w:lang w:eastAsia="zh-CN"/>
              </w:rPr>
              <w:t>偏离或无偏</w:t>
            </w:r>
            <w:r>
              <w:rPr>
                <w:spacing w:val="-2"/>
                <w:lang w:eastAsia="zh-CN"/>
              </w:rPr>
              <w:t>离）</w:t>
            </w:r>
          </w:p>
        </w:tc>
      </w:tr>
      <w:tr w14:paraId="009FD2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510" w:type="dxa"/>
            <w:tcBorders>
              <w:top w:val="single" w:color="auto" w:sz="4" w:space="0"/>
              <w:left w:val="single" w:color="auto" w:sz="4" w:space="0"/>
              <w:bottom w:val="single" w:color="auto" w:sz="4" w:space="0"/>
              <w:right w:val="single" w:color="auto" w:sz="4" w:space="0"/>
            </w:tcBorders>
            <w:vAlign w:val="center"/>
          </w:tcPr>
          <w:p w14:paraId="5278F62D">
            <w:pPr>
              <w:pStyle w:val="33"/>
              <w:spacing w:before="135" w:line="183" w:lineRule="auto"/>
              <w:ind w:left="118"/>
              <w:jc w:val="center"/>
              <w:rPr>
                <w:szCs w:val="21"/>
              </w:rPr>
            </w:pPr>
            <w:r>
              <w:t>二</w:t>
            </w:r>
          </w:p>
        </w:tc>
        <w:tc>
          <w:tcPr>
            <w:tcW w:w="3336" w:type="dxa"/>
            <w:tcBorders>
              <w:top w:val="single" w:color="auto" w:sz="4" w:space="0"/>
              <w:left w:val="single" w:color="auto" w:sz="4" w:space="0"/>
              <w:bottom w:val="single" w:color="auto" w:sz="4" w:space="0"/>
              <w:right w:val="single" w:color="auto" w:sz="4" w:space="0"/>
            </w:tcBorders>
            <w:vAlign w:val="center"/>
          </w:tcPr>
          <w:p w14:paraId="21D5DD25">
            <w:pPr>
              <w:pStyle w:val="33"/>
              <w:spacing w:before="96" w:line="270" w:lineRule="exact"/>
              <w:ind w:left="126"/>
              <w:jc w:val="left"/>
            </w:pPr>
            <w:r>
              <w:rPr>
                <w:spacing w:val="-8"/>
                <w:position w:val="1"/>
              </w:rPr>
              <w:t>1……</w:t>
            </w:r>
          </w:p>
          <w:p w14:paraId="07072019">
            <w:pPr>
              <w:pStyle w:val="33"/>
              <w:spacing w:before="68" w:line="270" w:lineRule="exact"/>
              <w:ind w:left="113"/>
              <w:jc w:val="left"/>
            </w:pPr>
            <w:r>
              <w:rPr>
                <w:spacing w:val="-4"/>
                <w:position w:val="1"/>
              </w:rPr>
              <w:t>2……</w:t>
            </w:r>
          </w:p>
          <w:p w14:paraId="3BE6A9D8">
            <w:pPr>
              <w:pStyle w:val="33"/>
              <w:spacing w:before="70" w:line="269" w:lineRule="exact"/>
              <w:ind w:left="115"/>
              <w:jc w:val="left"/>
            </w:pPr>
            <w:r>
              <w:rPr>
                <w:spacing w:val="-4"/>
                <w:position w:val="1"/>
              </w:rPr>
              <w:t>3……</w:t>
            </w:r>
          </w:p>
          <w:p w14:paraId="7667CB0B">
            <w:pPr>
              <w:spacing w:before="148" w:line="38" w:lineRule="exact"/>
              <w:ind w:firstLine="124"/>
              <w:jc w:val="left"/>
              <w:rPr>
                <w:rFonts w:ascii="宋体" w:hAnsi="宋体"/>
                <w:szCs w:val="21"/>
                <w:u w:val="single"/>
              </w:rPr>
            </w:pPr>
            <w:r>
              <w:drawing>
                <wp:inline distT="0" distB="0" distL="114300" distR="114300">
                  <wp:extent cx="227330" cy="23495"/>
                  <wp:effectExtent l="0" t="0" r="1270" b="1905"/>
                  <wp:docPr id="7" name="图片 3"/>
                  <wp:cNvGraphicFramePr/>
                  <a:graphic xmlns:a="http://schemas.openxmlformats.org/drawingml/2006/main">
                    <a:graphicData uri="http://schemas.openxmlformats.org/drawingml/2006/picture">
                      <pic:pic xmlns:pic="http://schemas.openxmlformats.org/drawingml/2006/picture">
                        <pic:nvPicPr>
                          <pic:cNvPr id="7" name="图片 3"/>
                          <pic:cNvPicPr/>
                        </pic:nvPicPr>
                        <pic:blipFill>
                          <a:blip r:embed="rId23" cstate="print"/>
                          <a:stretch>
                            <a:fillRect/>
                          </a:stretch>
                        </pic:blipFill>
                        <pic:spPr>
                          <a:xfrm>
                            <a:off x="0" y="0"/>
                            <a:ext cx="227330" cy="23495"/>
                          </a:xfrm>
                          <a:prstGeom prst="rect">
                            <a:avLst/>
                          </a:prstGeom>
                          <a:noFill/>
                          <a:ln>
                            <a:noFill/>
                          </a:ln>
                        </pic:spPr>
                      </pic:pic>
                    </a:graphicData>
                  </a:graphic>
                </wp:inline>
              </w:drawing>
            </w:r>
          </w:p>
        </w:tc>
        <w:tc>
          <w:tcPr>
            <w:tcW w:w="1760" w:type="dxa"/>
            <w:tcBorders>
              <w:top w:val="single" w:color="auto" w:sz="4" w:space="0"/>
              <w:left w:val="single" w:color="auto" w:sz="4" w:space="0"/>
              <w:bottom w:val="single" w:color="auto" w:sz="4" w:space="0"/>
              <w:right w:val="single" w:color="auto" w:sz="4" w:space="0"/>
            </w:tcBorders>
            <w:vAlign w:val="center"/>
          </w:tcPr>
          <w:p w14:paraId="31BDF849">
            <w:pPr>
              <w:pStyle w:val="33"/>
              <w:spacing w:before="96" w:line="270" w:lineRule="exact"/>
              <w:ind w:left="129"/>
              <w:jc w:val="left"/>
            </w:pPr>
            <w:r>
              <w:rPr>
                <w:spacing w:val="-8"/>
                <w:position w:val="1"/>
              </w:rPr>
              <w:t>1……</w:t>
            </w:r>
          </w:p>
          <w:p w14:paraId="02201E71">
            <w:pPr>
              <w:pStyle w:val="33"/>
              <w:spacing w:before="68" w:line="270" w:lineRule="exact"/>
              <w:ind w:left="116"/>
              <w:jc w:val="left"/>
            </w:pPr>
            <w:r>
              <w:rPr>
                <w:spacing w:val="-4"/>
                <w:position w:val="1"/>
              </w:rPr>
              <w:t>2……</w:t>
            </w:r>
          </w:p>
          <w:p w14:paraId="5487EDC3">
            <w:pPr>
              <w:pStyle w:val="33"/>
              <w:spacing w:before="70" w:line="269" w:lineRule="exact"/>
              <w:ind w:left="117"/>
              <w:jc w:val="left"/>
            </w:pPr>
            <w:r>
              <w:rPr>
                <w:spacing w:val="-4"/>
                <w:position w:val="1"/>
              </w:rPr>
              <w:t>3……</w:t>
            </w:r>
          </w:p>
          <w:p w14:paraId="04E76026">
            <w:pPr>
              <w:spacing w:before="148" w:line="38" w:lineRule="exact"/>
              <w:ind w:firstLine="126"/>
              <w:jc w:val="left"/>
              <w:rPr>
                <w:rFonts w:ascii="宋体" w:hAnsi="宋体"/>
                <w:szCs w:val="21"/>
              </w:rPr>
            </w:pPr>
            <w:r>
              <w:drawing>
                <wp:inline distT="0" distB="0" distL="114300" distR="114300">
                  <wp:extent cx="251460" cy="23495"/>
                  <wp:effectExtent l="0" t="0" r="2540" b="1905"/>
                  <wp:docPr id="8" name="图片 4"/>
                  <wp:cNvGraphicFramePr/>
                  <a:graphic xmlns:a="http://schemas.openxmlformats.org/drawingml/2006/main">
                    <a:graphicData uri="http://schemas.openxmlformats.org/drawingml/2006/picture">
                      <pic:pic xmlns:pic="http://schemas.openxmlformats.org/drawingml/2006/picture">
                        <pic:nvPicPr>
                          <pic:cNvPr id="8" name="图片 4"/>
                          <pic:cNvPicPr/>
                        </pic:nvPicPr>
                        <pic:blipFill>
                          <a:blip r:embed="rId24" cstate="print"/>
                          <a:stretch>
                            <a:fillRect/>
                          </a:stretch>
                        </pic:blipFill>
                        <pic:spPr>
                          <a:xfrm>
                            <a:off x="0" y="0"/>
                            <a:ext cx="251460" cy="23495"/>
                          </a:xfrm>
                          <a:prstGeom prst="rect">
                            <a:avLst/>
                          </a:prstGeom>
                          <a:noFill/>
                          <a:ln>
                            <a:noFill/>
                          </a:ln>
                        </pic:spPr>
                      </pic:pic>
                    </a:graphicData>
                  </a:graphic>
                </wp:inline>
              </w:drawing>
            </w:r>
          </w:p>
        </w:tc>
        <w:tc>
          <w:tcPr>
            <w:tcW w:w="2035" w:type="dxa"/>
            <w:tcBorders>
              <w:top w:val="single" w:color="auto" w:sz="4" w:space="0"/>
              <w:left w:val="single" w:color="auto" w:sz="4" w:space="0"/>
              <w:bottom w:val="single" w:color="auto" w:sz="4" w:space="0"/>
              <w:right w:val="single" w:color="auto" w:sz="4" w:space="0"/>
            </w:tcBorders>
            <w:vAlign w:val="center"/>
          </w:tcPr>
          <w:p w14:paraId="0BB379A7">
            <w:pPr>
              <w:pStyle w:val="33"/>
              <w:spacing w:before="60" w:line="228" w:lineRule="auto"/>
              <w:ind w:left="121"/>
              <w:jc w:val="center"/>
              <w:rPr>
                <w:szCs w:val="21"/>
                <w:lang w:eastAsia="zh-CN"/>
              </w:rPr>
            </w:pPr>
            <w:r>
              <w:rPr>
                <w:spacing w:val="8"/>
                <w:lang w:eastAsia="zh-CN"/>
              </w:rPr>
              <w:t>正偏离（负</w:t>
            </w:r>
            <w:r>
              <w:rPr>
                <w:spacing w:val="9"/>
                <w:lang w:eastAsia="zh-CN"/>
              </w:rPr>
              <w:t>偏离或无偏</w:t>
            </w:r>
            <w:r>
              <w:rPr>
                <w:spacing w:val="-2"/>
                <w:lang w:eastAsia="zh-CN"/>
              </w:rPr>
              <w:t>离）</w:t>
            </w:r>
          </w:p>
        </w:tc>
      </w:tr>
      <w:tr w14:paraId="544D77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1510" w:type="dxa"/>
            <w:tcBorders>
              <w:top w:val="single" w:color="auto" w:sz="4" w:space="0"/>
              <w:left w:val="single" w:color="auto" w:sz="4" w:space="0"/>
              <w:bottom w:val="single" w:color="auto" w:sz="4" w:space="0"/>
              <w:right w:val="single" w:color="auto" w:sz="4" w:space="0"/>
            </w:tcBorders>
            <w:vAlign w:val="center"/>
          </w:tcPr>
          <w:p w14:paraId="7D694FDD">
            <w:pPr>
              <w:pStyle w:val="33"/>
              <w:spacing w:before="249" w:line="84" w:lineRule="exact"/>
              <w:ind w:left="120"/>
              <w:jc w:val="center"/>
              <w:rPr>
                <w:szCs w:val="21"/>
              </w:rPr>
            </w:pPr>
            <w:r>
              <w:rPr>
                <w:spacing w:val="3"/>
                <w:position w:val="1"/>
              </w:rPr>
              <w:t>...</w:t>
            </w:r>
          </w:p>
        </w:tc>
        <w:tc>
          <w:tcPr>
            <w:tcW w:w="3336" w:type="dxa"/>
            <w:tcBorders>
              <w:top w:val="single" w:color="auto" w:sz="4" w:space="0"/>
              <w:left w:val="single" w:color="auto" w:sz="4" w:space="0"/>
              <w:bottom w:val="single" w:color="auto" w:sz="4" w:space="0"/>
              <w:right w:val="single" w:color="auto" w:sz="4" w:space="0"/>
            </w:tcBorders>
            <w:vAlign w:val="center"/>
          </w:tcPr>
          <w:p w14:paraId="34BED6B2">
            <w:pPr>
              <w:pStyle w:val="33"/>
              <w:spacing w:before="95" w:line="270" w:lineRule="exact"/>
              <w:ind w:left="126"/>
              <w:jc w:val="left"/>
            </w:pPr>
            <w:r>
              <w:rPr>
                <w:spacing w:val="-8"/>
                <w:position w:val="1"/>
              </w:rPr>
              <w:t>1……</w:t>
            </w:r>
          </w:p>
          <w:p w14:paraId="594C3802">
            <w:pPr>
              <w:pStyle w:val="33"/>
              <w:spacing w:before="70" w:line="270" w:lineRule="exact"/>
              <w:ind w:left="113"/>
              <w:jc w:val="left"/>
            </w:pPr>
            <w:r>
              <w:rPr>
                <w:spacing w:val="-4"/>
                <w:position w:val="1"/>
              </w:rPr>
              <w:t>2……</w:t>
            </w:r>
          </w:p>
          <w:p w14:paraId="10B7E217">
            <w:pPr>
              <w:pStyle w:val="33"/>
              <w:spacing w:before="70" w:line="269" w:lineRule="exact"/>
              <w:ind w:left="115"/>
              <w:jc w:val="left"/>
            </w:pPr>
            <w:r>
              <w:rPr>
                <w:spacing w:val="-4"/>
                <w:position w:val="1"/>
              </w:rPr>
              <w:t>3……</w:t>
            </w:r>
          </w:p>
          <w:p w14:paraId="2B2A8E45">
            <w:pPr>
              <w:spacing w:before="156" w:line="35" w:lineRule="exact"/>
              <w:ind w:firstLine="124"/>
              <w:jc w:val="left"/>
              <w:rPr>
                <w:rFonts w:ascii="宋体" w:hAnsi="宋体"/>
                <w:szCs w:val="21"/>
              </w:rPr>
            </w:pPr>
            <w:r>
              <w:drawing>
                <wp:inline distT="0" distB="0" distL="114300" distR="114300">
                  <wp:extent cx="227330" cy="21590"/>
                  <wp:effectExtent l="0" t="0" r="1270" b="3810"/>
                  <wp:docPr id="9" name="图片 5"/>
                  <wp:cNvGraphicFramePr/>
                  <a:graphic xmlns:a="http://schemas.openxmlformats.org/drawingml/2006/main">
                    <a:graphicData uri="http://schemas.openxmlformats.org/drawingml/2006/picture">
                      <pic:pic xmlns:pic="http://schemas.openxmlformats.org/drawingml/2006/picture">
                        <pic:nvPicPr>
                          <pic:cNvPr id="9" name="图片 5"/>
                          <pic:cNvPicPr/>
                        </pic:nvPicPr>
                        <pic:blipFill>
                          <a:blip r:embed="rId23" cstate="print"/>
                          <a:stretch>
                            <a:fillRect/>
                          </a:stretch>
                        </pic:blipFill>
                        <pic:spPr>
                          <a:xfrm>
                            <a:off x="0" y="0"/>
                            <a:ext cx="227330" cy="21590"/>
                          </a:xfrm>
                          <a:prstGeom prst="rect">
                            <a:avLst/>
                          </a:prstGeom>
                          <a:noFill/>
                          <a:ln>
                            <a:noFill/>
                          </a:ln>
                        </pic:spPr>
                      </pic:pic>
                    </a:graphicData>
                  </a:graphic>
                </wp:inline>
              </w:drawing>
            </w:r>
          </w:p>
        </w:tc>
        <w:tc>
          <w:tcPr>
            <w:tcW w:w="1760" w:type="dxa"/>
            <w:tcBorders>
              <w:top w:val="single" w:color="auto" w:sz="4" w:space="0"/>
              <w:left w:val="single" w:color="auto" w:sz="4" w:space="0"/>
              <w:bottom w:val="single" w:color="auto" w:sz="4" w:space="0"/>
              <w:right w:val="single" w:color="auto" w:sz="4" w:space="0"/>
            </w:tcBorders>
            <w:vAlign w:val="center"/>
          </w:tcPr>
          <w:p w14:paraId="36D174C4">
            <w:pPr>
              <w:pStyle w:val="33"/>
              <w:spacing w:before="95" w:line="270" w:lineRule="exact"/>
              <w:ind w:left="129"/>
              <w:jc w:val="left"/>
            </w:pPr>
            <w:r>
              <w:rPr>
                <w:spacing w:val="-8"/>
                <w:position w:val="1"/>
              </w:rPr>
              <w:t>1……</w:t>
            </w:r>
          </w:p>
          <w:p w14:paraId="627F3E04">
            <w:pPr>
              <w:pStyle w:val="33"/>
              <w:spacing w:before="70" w:line="270" w:lineRule="exact"/>
              <w:ind w:left="116"/>
              <w:jc w:val="left"/>
            </w:pPr>
            <w:r>
              <w:rPr>
                <w:spacing w:val="-4"/>
                <w:position w:val="1"/>
              </w:rPr>
              <w:t>2……</w:t>
            </w:r>
          </w:p>
          <w:p w14:paraId="62BD6796">
            <w:pPr>
              <w:pStyle w:val="33"/>
              <w:spacing w:before="70" w:line="269" w:lineRule="exact"/>
              <w:ind w:left="117"/>
              <w:jc w:val="left"/>
            </w:pPr>
            <w:r>
              <w:rPr>
                <w:spacing w:val="-4"/>
                <w:position w:val="1"/>
              </w:rPr>
              <w:t>3……</w:t>
            </w:r>
          </w:p>
          <w:p w14:paraId="08310248">
            <w:pPr>
              <w:spacing w:before="156" w:line="35" w:lineRule="exact"/>
              <w:ind w:firstLine="126"/>
              <w:jc w:val="left"/>
              <w:rPr>
                <w:rFonts w:ascii="宋体" w:hAnsi="宋体"/>
                <w:szCs w:val="21"/>
              </w:rPr>
            </w:pPr>
            <w:r>
              <w:drawing>
                <wp:inline distT="0" distB="0" distL="114300" distR="114300">
                  <wp:extent cx="251460" cy="21590"/>
                  <wp:effectExtent l="0" t="0" r="2540" b="3810"/>
                  <wp:docPr id="5" name="图片 6"/>
                  <wp:cNvGraphicFramePr/>
                  <a:graphic xmlns:a="http://schemas.openxmlformats.org/drawingml/2006/main">
                    <a:graphicData uri="http://schemas.openxmlformats.org/drawingml/2006/picture">
                      <pic:pic xmlns:pic="http://schemas.openxmlformats.org/drawingml/2006/picture">
                        <pic:nvPicPr>
                          <pic:cNvPr id="5" name="图片 6"/>
                          <pic:cNvPicPr/>
                        </pic:nvPicPr>
                        <pic:blipFill>
                          <a:blip r:embed="rId24" cstate="print"/>
                          <a:stretch>
                            <a:fillRect/>
                          </a:stretch>
                        </pic:blipFill>
                        <pic:spPr>
                          <a:xfrm>
                            <a:off x="0" y="0"/>
                            <a:ext cx="251460" cy="21590"/>
                          </a:xfrm>
                          <a:prstGeom prst="rect">
                            <a:avLst/>
                          </a:prstGeom>
                          <a:noFill/>
                          <a:ln>
                            <a:noFill/>
                          </a:ln>
                        </pic:spPr>
                      </pic:pic>
                    </a:graphicData>
                  </a:graphic>
                </wp:inline>
              </w:drawing>
            </w:r>
          </w:p>
        </w:tc>
        <w:tc>
          <w:tcPr>
            <w:tcW w:w="2035" w:type="dxa"/>
            <w:tcBorders>
              <w:top w:val="single" w:color="auto" w:sz="4" w:space="0"/>
              <w:left w:val="single" w:color="auto" w:sz="4" w:space="0"/>
              <w:bottom w:val="single" w:color="auto" w:sz="4" w:space="0"/>
              <w:right w:val="single" w:color="auto" w:sz="4" w:space="0"/>
            </w:tcBorders>
            <w:vAlign w:val="center"/>
          </w:tcPr>
          <w:p w14:paraId="0437EB94">
            <w:pPr>
              <w:pStyle w:val="33"/>
              <w:spacing w:before="60" w:line="228" w:lineRule="auto"/>
              <w:ind w:left="121"/>
              <w:jc w:val="center"/>
              <w:rPr>
                <w:szCs w:val="21"/>
                <w:lang w:eastAsia="zh-CN"/>
              </w:rPr>
            </w:pPr>
            <w:r>
              <w:rPr>
                <w:spacing w:val="8"/>
                <w:lang w:eastAsia="zh-CN"/>
              </w:rPr>
              <w:t>正偏离（负</w:t>
            </w:r>
            <w:r>
              <w:rPr>
                <w:spacing w:val="9"/>
                <w:lang w:eastAsia="zh-CN"/>
              </w:rPr>
              <w:t>偏离或无偏</w:t>
            </w:r>
            <w:r>
              <w:rPr>
                <w:spacing w:val="-2"/>
                <w:lang w:eastAsia="zh-CN"/>
              </w:rPr>
              <w:t>离）</w:t>
            </w:r>
          </w:p>
        </w:tc>
      </w:tr>
      <w:tr w14:paraId="68CEB5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tcPr>
          <w:p w14:paraId="5C8035A4">
            <w:pPr>
              <w:snapToGrid w:val="0"/>
              <w:spacing w:beforeLines="50"/>
              <w:jc w:val="center"/>
              <w:rPr>
                <w:rFonts w:ascii="宋体" w:hAnsi="宋体"/>
                <w:szCs w:val="21"/>
              </w:rPr>
            </w:pPr>
            <w:r>
              <w:rPr>
                <w:rFonts w:hint="eastAsia" w:ascii="宋体" w:hAnsi="宋体"/>
                <w:szCs w:val="21"/>
              </w:rPr>
              <w:t>…</w:t>
            </w:r>
          </w:p>
        </w:tc>
        <w:tc>
          <w:tcPr>
            <w:tcW w:w="3336" w:type="dxa"/>
            <w:tcBorders>
              <w:top w:val="single" w:color="auto" w:sz="4" w:space="0"/>
              <w:left w:val="single" w:color="auto" w:sz="4" w:space="0"/>
              <w:bottom w:val="single" w:color="auto" w:sz="4" w:space="0"/>
              <w:right w:val="single" w:color="auto" w:sz="4" w:space="0"/>
            </w:tcBorders>
          </w:tcPr>
          <w:p w14:paraId="6D9859E2">
            <w:pPr>
              <w:snapToGrid w:val="0"/>
              <w:spacing w:beforeLines="50"/>
              <w:jc w:val="center"/>
              <w:rPr>
                <w:rFonts w:ascii="宋体" w:hAnsi="宋体"/>
                <w:szCs w:val="21"/>
              </w:rPr>
            </w:pPr>
          </w:p>
        </w:tc>
        <w:tc>
          <w:tcPr>
            <w:tcW w:w="1760" w:type="dxa"/>
            <w:tcBorders>
              <w:top w:val="single" w:color="auto" w:sz="4" w:space="0"/>
              <w:left w:val="single" w:color="auto" w:sz="4" w:space="0"/>
              <w:bottom w:val="single" w:color="auto" w:sz="4" w:space="0"/>
              <w:right w:val="single" w:color="auto" w:sz="4" w:space="0"/>
            </w:tcBorders>
          </w:tcPr>
          <w:p w14:paraId="30E5E66E">
            <w:pPr>
              <w:snapToGrid w:val="0"/>
              <w:spacing w:beforeLines="50"/>
              <w:jc w:val="center"/>
              <w:rPr>
                <w:rFonts w:ascii="宋体" w:hAnsi="宋体"/>
                <w:szCs w:val="21"/>
              </w:rPr>
            </w:pPr>
          </w:p>
        </w:tc>
        <w:tc>
          <w:tcPr>
            <w:tcW w:w="2035" w:type="dxa"/>
            <w:tcBorders>
              <w:top w:val="single" w:color="auto" w:sz="4" w:space="0"/>
              <w:left w:val="single" w:color="auto" w:sz="4" w:space="0"/>
              <w:bottom w:val="single" w:color="auto" w:sz="4" w:space="0"/>
              <w:right w:val="single" w:color="auto" w:sz="4" w:space="0"/>
            </w:tcBorders>
          </w:tcPr>
          <w:p w14:paraId="1C7A5581">
            <w:pPr>
              <w:snapToGrid w:val="0"/>
              <w:spacing w:beforeLines="50"/>
              <w:jc w:val="center"/>
              <w:rPr>
                <w:rFonts w:ascii="宋体" w:hAnsi="宋体"/>
                <w:szCs w:val="21"/>
              </w:rPr>
            </w:pPr>
          </w:p>
        </w:tc>
      </w:tr>
    </w:tbl>
    <w:p w14:paraId="2AB6B949">
      <w:pPr>
        <w:pStyle w:val="11"/>
        <w:rPr>
          <w:rFonts w:ascii="宋体" w:hAnsi="宋体"/>
          <w:sz w:val="21"/>
          <w:szCs w:val="21"/>
        </w:rPr>
      </w:pPr>
      <w:r>
        <w:rPr>
          <w:rFonts w:hint="eastAsia" w:ascii="宋体" w:hAnsi="宋体"/>
          <w:sz w:val="21"/>
          <w:szCs w:val="21"/>
        </w:rPr>
        <w:t>注：</w:t>
      </w:r>
    </w:p>
    <w:p w14:paraId="3AAA1905">
      <w:pPr>
        <w:pStyle w:val="14"/>
        <w:spacing w:line="520" w:lineRule="exact"/>
        <w:ind w:firstLine="0" w:firstLineChars="0"/>
        <w:rPr>
          <w:rFonts w:hAnsi="仿宋_GB2312" w:cs="仿宋_GB2312"/>
          <w:sz w:val="24"/>
          <w:szCs w:val="24"/>
        </w:rPr>
      </w:pPr>
      <w:r>
        <w:rPr>
          <w:rFonts w:hint="eastAsia" w:ascii="宋体" w:hAnsi="宋体" w:eastAsia="宋体"/>
          <w:sz w:val="21"/>
          <w:szCs w:val="21"/>
        </w:rPr>
        <w:t>1. 说明：应对照招标文件“第二章 采购需求”中的商务要求逐条实质性响应，并作出偏离说明。</w:t>
      </w:r>
    </w:p>
    <w:p w14:paraId="1D5A371C">
      <w:pPr>
        <w:pStyle w:val="11"/>
        <w:rPr>
          <w:rFonts w:ascii="宋体" w:hAnsi="宋体"/>
          <w:b w:val="0"/>
          <w:bCs w:val="0"/>
          <w:sz w:val="21"/>
          <w:szCs w:val="21"/>
        </w:rPr>
      </w:pPr>
      <w:r>
        <w:rPr>
          <w:rFonts w:ascii="宋体" w:hAnsi="宋体"/>
          <w:b w:val="0"/>
          <w:bCs w:val="0"/>
          <w:sz w:val="21"/>
          <w:szCs w:val="21"/>
        </w:rPr>
        <w:t>2.</w:t>
      </w:r>
      <w:r>
        <w:rPr>
          <w:rFonts w:hint="eastAsia" w:ascii="宋体" w:hAnsi="宋体"/>
          <w:b w:val="0"/>
          <w:bCs w:val="0"/>
          <w:sz w:val="21"/>
          <w:szCs w:val="21"/>
        </w:rPr>
        <w:t>投标人应根据自身的承诺，对照招标文件要求在“偏离说明”中注明“</w:t>
      </w:r>
      <w:r>
        <w:rPr>
          <w:rFonts w:hint="eastAsia" w:ascii="宋体" w:hAnsi="宋体"/>
          <w:sz w:val="21"/>
          <w:szCs w:val="21"/>
        </w:rPr>
        <w:t>正偏离</w:t>
      </w:r>
      <w:r>
        <w:rPr>
          <w:rFonts w:hint="eastAsia" w:ascii="宋体" w:hAnsi="宋体"/>
          <w:b w:val="0"/>
          <w:bCs w:val="0"/>
          <w:sz w:val="21"/>
          <w:szCs w:val="21"/>
        </w:rPr>
        <w:t>”、“</w:t>
      </w:r>
      <w:r>
        <w:rPr>
          <w:rFonts w:hint="eastAsia" w:ascii="宋体" w:hAnsi="宋体"/>
          <w:sz w:val="21"/>
          <w:szCs w:val="21"/>
        </w:rPr>
        <w:t>负偏离</w:t>
      </w:r>
      <w:r>
        <w:rPr>
          <w:rFonts w:hint="eastAsia" w:ascii="宋体" w:hAnsi="宋体"/>
          <w:b w:val="0"/>
          <w:bCs w:val="0"/>
          <w:sz w:val="21"/>
          <w:szCs w:val="21"/>
        </w:rPr>
        <w:t>”或者“</w:t>
      </w:r>
      <w:r>
        <w:rPr>
          <w:rFonts w:hint="eastAsia" w:ascii="宋体" w:hAnsi="宋体"/>
          <w:sz w:val="21"/>
          <w:szCs w:val="21"/>
        </w:rPr>
        <w:t>无偏离</w:t>
      </w:r>
      <w:r>
        <w:rPr>
          <w:rFonts w:hint="eastAsia" w:ascii="宋体" w:hAnsi="宋体"/>
          <w:b w:val="0"/>
          <w:bCs w:val="0"/>
          <w:sz w:val="21"/>
          <w:szCs w:val="21"/>
        </w:rPr>
        <w:t>”。既不属于“</w:t>
      </w:r>
      <w:r>
        <w:rPr>
          <w:rFonts w:hint="eastAsia" w:ascii="宋体" w:hAnsi="宋体"/>
          <w:sz w:val="21"/>
          <w:szCs w:val="21"/>
        </w:rPr>
        <w:t>正偏离</w:t>
      </w:r>
      <w:r>
        <w:rPr>
          <w:rFonts w:hint="eastAsia" w:ascii="宋体" w:hAnsi="宋体"/>
          <w:b w:val="0"/>
          <w:bCs w:val="0"/>
          <w:sz w:val="21"/>
          <w:szCs w:val="21"/>
        </w:rPr>
        <w:t>”也不属于“</w:t>
      </w:r>
      <w:r>
        <w:rPr>
          <w:rFonts w:hint="eastAsia" w:ascii="宋体" w:hAnsi="宋体"/>
          <w:sz w:val="21"/>
          <w:szCs w:val="21"/>
        </w:rPr>
        <w:t>负偏离</w:t>
      </w:r>
      <w:r>
        <w:rPr>
          <w:rFonts w:hint="eastAsia" w:ascii="宋体" w:hAnsi="宋体"/>
          <w:b w:val="0"/>
          <w:bCs w:val="0"/>
          <w:sz w:val="21"/>
          <w:szCs w:val="21"/>
        </w:rPr>
        <w:t>”即为“</w:t>
      </w:r>
      <w:r>
        <w:rPr>
          <w:rFonts w:hint="eastAsia" w:ascii="宋体" w:hAnsi="宋体"/>
          <w:sz w:val="21"/>
          <w:szCs w:val="21"/>
        </w:rPr>
        <w:t>无偏离</w:t>
      </w:r>
      <w:r>
        <w:rPr>
          <w:rFonts w:hint="eastAsia" w:ascii="宋体" w:hAnsi="宋体"/>
          <w:b w:val="0"/>
          <w:bCs w:val="0"/>
          <w:sz w:val="21"/>
          <w:szCs w:val="21"/>
        </w:rPr>
        <w:t>”。</w:t>
      </w:r>
    </w:p>
    <w:p w14:paraId="37FB8948">
      <w:pPr>
        <w:snapToGrid w:val="0"/>
        <w:spacing w:before="50" w:after="50"/>
        <w:rPr>
          <w:rFonts w:ascii="宋体" w:hAnsi="宋体"/>
          <w:szCs w:val="21"/>
        </w:rPr>
      </w:pPr>
    </w:p>
    <w:p w14:paraId="18B59C5C">
      <w:pPr>
        <w:snapToGrid w:val="0"/>
        <w:spacing w:before="50" w:after="50" w:line="300" w:lineRule="auto"/>
        <w:ind w:left="-6" w:leftChars="-15" w:right="-817" w:rightChars="-389" w:hanging="25" w:hangingChars="12"/>
        <w:jc w:val="left"/>
        <w:rPr>
          <w:rFonts w:ascii="宋体" w:hAnsi="宋体"/>
          <w:b/>
          <w:bCs/>
          <w:szCs w:val="21"/>
        </w:rPr>
      </w:pPr>
    </w:p>
    <w:p w14:paraId="75A1E2C7">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7B833E0B">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71342193">
      <w:pPr>
        <w:snapToGrid w:val="0"/>
        <w:spacing w:before="50" w:after="50" w:line="480" w:lineRule="auto"/>
        <w:ind w:left="-6" w:leftChars="-15" w:right="-817" w:rightChars="-389" w:hanging="25" w:hangingChars="12"/>
        <w:jc w:val="left"/>
        <w:rPr>
          <w:rFonts w:ascii="宋体" w:hAnsi="宋体"/>
          <w:sz w:val="20"/>
          <w:szCs w:val="22"/>
        </w:rPr>
      </w:pPr>
      <w:r>
        <w:rPr>
          <w:rFonts w:hint="eastAsia" w:ascii="宋体" w:hAnsi="宋体"/>
          <w:b/>
          <w:bCs/>
          <w:szCs w:val="21"/>
        </w:rPr>
        <w:t>日期：    年   月   日</w:t>
      </w:r>
    </w:p>
    <w:p w14:paraId="688AC58E">
      <w:pPr>
        <w:snapToGrid w:val="0"/>
        <w:spacing w:beforeLines="50" w:line="480" w:lineRule="auto"/>
        <w:rPr>
          <w:rFonts w:ascii="宋体" w:hAnsi="宋体"/>
          <w:szCs w:val="16"/>
        </w:rPr>
      </w:pPr>
    </w:p>
    <w:p w14:paraId="39D47307">
      <w:pPr>
        <w:snapToGrid w:val="0"/>
        <w:spacing w:beforeLines="50" w:after="50"/>
        <w:jc w:val="left"/>
        <w:rPr>
          <w:rFonts w:ascii="宋体" w:hAnsi="宋体"/>
          <w:szCs w:val="16"/>
        </w:rPr>
        <w:sectPr>
          <w:footerReference r:id="rId19" w:type="first"/>
          <w:footerReference r:id="rId17" w:type="default"/>
          <w:footerReference r:id="rId18" w:type="even"/>
          <w:pgSz w:w="11906" w:h="16838"/>
          <w:pgMar w:top="1440" w:right="1797" w:bottom="1440" w:left="1797" w:header="851" w:footer="992" w:gutter="0"/>
          <w:cols w:space="720" w:num="1"/>
          <w:docGrid w:linePitch="312" w:charSpace="0"/>
        </w:sectPr>
      </w:pPr>
    </w:p>
    <w:p w14:paraId="5465807E">
      <w:pPr>
        <w:snapToGrid w:val="0"/>
        <w:spacing w:beforeLines="50" w:after="50"/>
        <w:ind w:left="142"/>
        <w:jc w:val="left"/>
        <w:rPr>
          <w:rFonts w:ascii="宋体" w:hAnsi="宋体"/>
          <w:b/>
          <w:sz w:val="24"/>
        </w:rPr>
      </w:pPr>
      <w:r>
        <w:rPr>
          <w:rFonts w:hint="eastAsia" w:ascii="宋体" w:hAnsi="宋体"/>
          <w:b/>
          <w:sz w:val="24"/>
        </w:rPr>
        <w:t>6.设备性能配置清单</w:t>
      </w:r>
    </w:p>
    <w:p w14:paraId="678A0F0E">
      <w:pPr>
        <w:snapToGrid w:val="0"/>
        <w:spacing w:beforeLines="50" w:after="50"/>
        <w:ind w:left="142"/>
        <w:jc w:val="left"/>
        <w:rPr>
          <w:rFonts w:ascii="宋体" w:hAnsi="宋体"/>
          <w:b/>
          <w:sz w:val="24"/>
        </w:rPr>
      </w:pPr>
    </w:p>
    <w:p w14:paraId="76C78D04">
      <w:pPr>
        <w:snapToGrid w:val="0"/>
        <w:spacing w:beforeLines="50" w:after="50"/>
        <w:ind w:left="142"/>
        <w:jc w:val="center"/>
        <w:rPr>
          <w:rFonts w:ascii="宋体" w:hAnsi="宋体"/>
          <w:b/>
          <w:sz w:val="28"/>
          <w:szCs w:val="28"/>
        </w:rPr>
      </w:pPr>
      <w:r>
        <w:rPr>
          <w:rFonts w:hint="eastAsia" w:ascii="宋体" w:hAnsi="宋体"/>
          <w:b/>
          <w:sz w:val="28"/>
          <w:szCs w:val="28"/>
        </w:rPr>
        <w:t>设备性能配置清单</w:t>
      </w:r>
    </w:p>
    <w:p w14:paraId="7E25440D">
      <w:pPr>
        <w:pStyle w:val="15"/>
        <w:rPr>
          <w:sz w:val="21"/>
        </w:rPr>
      </w:pPr>
      <w:r>
        <w:rPr>
          <w:rFonts w:hint="eastAsia"/>
          <w:sz w:val="21"/>
        </w:rPr>
        <w:t>所投分标：</w:t>
      </w:r>
      <w:r>
        <w:rPr>
          <w:rFonts w:hint="eastAsia" w:hAnsi="宋体"/>
          <w:sz w:val="21"/>
          <w:u w:val="single"/>
        </w:rPr>
        <w:t>标项</w:t>
      </w:r>
    </w:p>
    <w:p w14:paraId="25C338D7">
      <w:pPr>
        <w:pStyle w:val="8"/>
      </w:pPr>
    </w:p>
    <w:tbl>
      <w:tblPr>
        <w:tblStyle w:val="25"/>
        <w:tblW w:w="9469" w:type="dxa"/>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6"/>
        <w:gridCol w:w="1137"/>
        <w:gridCol w:w="822"/>
        <w:gridCol w:w="1085"/>
        <w:gridCol w:w="1063"/>
        <w:gridCol w:w="1283"/>
        <w:gridCol w:w="717"/>
        <w:gridCol w:w="937"/>
        <w:gridCol w:w="996"/>
        <w:gridCol w:w="723"/>
      </w:tblGrid>
      <w:tr w14:paraId="75E573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8" w:hRule="atLeast"/>
        </w:trPr>
        <w:tc>
          <w:tcPr>
            <w:tcW w:w="706" w:type="dxa"/>
            <w:tcBorders>
              <w:top w:val="single" w:color="auto" w:sz="4" w:space="0"/>
              <w:left w:val="single" w:color="auto" w:sz="4" w:space="0"/>
              <w:bottom w:val="single" w:color="auto" w:sz="4" w:space="0"/>
              <w:right w:val="single" w:color="auto" w:sz="4" w:space="0"/>
            </w:tcBorders>
            <w:vAlign w:val="center"/>
          </w:tcPr>
          <w:p w14:paraId="671EDA6E">
            <w:pPr>
              <w:snapToGrid w:val="0"/>
              <w:spacing w:line="400" w:lineRule="exact"/>
              <w:jc w:val="center"/>
              <w:rPr>
                <w:rFonts w:ascii="宋体" w:hAnsi="宋体" w:cs="宋体"/>
                <w:szCs w:val="21"/>
              </w:rPr>
            </w:pPr>
            <w:r>
              <w:rPr>
                <w:rFonts w:hint="eastAsia" w:ascii="宋体" w:hAnsi="宋体" w:cs="宋体"/>
                <w:szCs w:val="21"/>
              </w:rPr>
              <w:t>序号</w:t>
            </w:r>
          </w:p>
        </w:tc>
        <w:tc>
          <w:tcPr>
            <w:tcW w:w="1137" w:type="dxa"/>
            <w:tcBorders>
              <w:top w:val="single" w:color="auto" w:sz="4" w:space="0"/>
              <w:left w:val="single" w:color="auto" w:sz="4" w:space="0"/>
              <w:bottom w:val="single" w:color="auto" w:sz="4" w:space="0"/>
              <w:right w:val="single" w:color="auto" w:sz="4" w:space="0"/>
            </w:tcBorders>
            <w:vAlign w:val="center"/>
          </w:tcPr>
          <w:p w14:paraId="1BEA20BC">
            <w:pPr>
              <w:snapToGrid w:val="0"/>
              <w:spacing w:line="400" w:lineRule="exact"/>
              <w:jc w:val="center"/>
              <w:rPr>
                <w:rFonts w:ascii="宋体" w:hAnsi="宋体" w:cs="宋体"/>
                <w:szCs w:val="21"/>
              </w:rPr>
            </w:pPr>
            <w:r>
              <w:rPr>
                <w:rFonts w:hint="eastAsia" w:ascii="宋体" w:hAnsi="宋体" w:cs="宋体"/>
                <w:szCs w:val="21"/>
              </w:rPr>
              <w:t>部件编号</w:t>
            </w:r>
          </w:p>
        </w:tc>
        <w:tc>
          <w:tcPr>
            <w:tcW w:w="822" w:type="dxa"/>
            <w:tcBorders>
              <w:top w:val="single" w:color="auto" w:sz="4" w:space="0"/>
              <w:left w:val="single" w:color="auto" w:sz="4" w:space="0"/>
              <w:bottom w:val="single" w:color="auto" w:sz="4" w:space="0"/>
              <w:right w:val="single" w:color="auto" w:sz="4" w:space="0"/>
            </w:tcBorders>
            <w:vAlign w:val="center"/>
          </w:tcPr>
          <w:p w14:paraId="0D1FC1D4">
            <w:pPr>
              <w:snapToGrid w:val="0"/>
              <w:spacing w:line="400" w:lineRule="exact"/>
              <w:jc w:val="center"/>
              <w:rPr>
                <w:rFonts w:ascii="宋体" w:hAnsi="宋体" w:cs="宋体"/>
                <w:szCs w:val="21"/>
              </w:rPr>
            </w:pPr>
            <w:r>
              <w:rPr>
                <w:rFonts w:hint="eastAsia" w:ascii="宋体" w:hAnsi="宋体"/>
                <w:szCs w:val="21"/>
              </w:rPr>
              <w:t>货</w:t>
            </w:r>
            <w:r>
              <w:rPr>
                <w:rFonts w:hint="eastAsia" w:ascii="宋体" w:hAnsi="宋体" w:cs="宋体"/>
                <w:szCs w:val="21"/>
              </w:rPr>
              <w:t>物名称</w:t>
            </w:r>
          </w:p>
        </w:tc>
        <w:tc>
          <w:tcPr>
            <w:tcW w:w="1085" w:type="dxa"/>
            <w:tcBorders>
              <w:top w:val="single" w:color="auto" w:sz="4" w:space="0"/>
              <w:left w:val="single" w:color="auto" w:sz="4" w:space="0"/>
              <w:bottom w:val="single" w:color="auto" w:sz="4" w:space="0"/>
              <w:right w:val="single" w:color="auto" w:sz="4" w:space="0"/>
            </w:tcBorders>
            <w:vAlign w:val="center"/>
          </w:tcPr>
          <w:p w14:paraId="42F82D15">
            <w:pPr>
              <w:snapToGrid w:val="0"/>
              <w:spacing w:line="400" w:lineRule="exact"/>
              <w:jc w:val="center"/>
              <w:rPr>
                <w:rFonts w:ascii="宋体" w:hAnsi="宋体" w:cs="宋体"/>
                <w:szCs w:val="21"/>
              </w:rPr>
            </w:pPr>
            <w:r>
              <w:rPr>
                <w:rFonts w:hint="eastAsia" w:ascii="宋体" w:hAnsi="宋体" w:cs="宋体"/>
                <w:szCs w:val="21"/>
              </w:rPr>
              <w:t>注册证号</w:t>
            </w:r>
          </w:p>
        </w:tc>
        <w:tc>
          <w:tcPr>
            <w:tcW w:w="1063" w:type="dxa"/>
            <w:tcBorders>
              <w:top w:val="single" w:color="auto" w:sz="4" w:space="0"/>
              <w:left w:val="single" w:color="auto" w:sz="4" w:space="0"/>
              <w:bottom w:val="single" w:color="auto" w:sz="4" w:space="0"/>
              <w:right w:val="single" w:color="auto" w:sz="4" w:space="0"/>
            </w:tcBorders>
            <w:vAlign w:val="center"/>
          </w:tcPr>
          <w:p w14:paraId="1D4B39DF">
            <w:pPr>
              <w:snapToGrid w:val="0"/>
              <w:spacing w:line="400" w:lineRule="exact"/>
              <w:jc w:val="center"/>
              <w:rPr>
                <w:rFonts w:ascii="宋体" w:hAnsi="宋体" w:cs="宋体"/>
                <w:szCs w:val="21"/>
              </w:rPr>
            </w:pPr>
            <w:r>
              <w:rPr>
                <w:rFonts w:hint="eastAsia" w:ascii="宋体" w:hAnsi="宋体" w:cs="宋体"/>
                <w:szCs w:val="21"/>
              </w:rPr>
              <w:t>规格型号</w:t>
            </w:r>
          </w:p>
        </w:tc>
        <w:tc>
          <w:tcPr>
            <w:tcW w:w="1283" w:type="dxa"/>
            <w:tcBorders>
              <w:top w:val="single" w:color="auto" w:sz="4" w:space="0"/>
              <w:left w:val="single" w:color="auto" w:sz="4" w:space="0"/>
              <w:bottom w:val="single" w:color="auto" w:sz="4" w:space="0"/>
              <w:right w:val="single" w:color="auto" w:sz="4" w:space="0"/>
            </w:tcBorders>
            <w:vAlign w:val="center"/>
          </w:tcPr>
          <w:p w14:paraId="3F0935E2">
            <w:pPr>
              <w:snapToGrid w:val="0"/>
              <w:spacing w:line="400" w:lineRule="exact"/>
              <w:jc w:val="center"/>
              <w:rPr>
                <w:rFonts w:ascii="宋体" w:hAnsi="宋体" w:cs="宋体"/>
                <w:szCs w:val="21"/>
              </w:rPr>
            </w:pPr>
            <w:r>
              <w:rPr>
                <w:rFonts w:hint="eastAsia" w:ascii="宋体" w:hAnsi="宋体" w:cs="宋体"/>
                <w:szCs w:val="21"/>
              </w:rPr>
              <w:t>生产厂家</w:t>
            </w:r>
          </w:p>
          <w:p w14:paraId="03905A53">
            <w:pPr>
              <w:snapToGrid w:val="0"/>
              <w:spacing w:line="400" w:lineRule="exact"/>
              <w:jc w:val="center"/>
              <w:rPr>
                <w:rFonts w:ascii="宋体" w:hAnsi="宋体" w:cs="宋体"/>
                <w:szCs w:val="21"/>
              </w:rPr>
            </w:pPr>
            <w:r>
              <w:rPr>
                <w:rFonts w:hint="eastAsia" w:ascii="宋体" w:hAnsi="宋体" w:cs="宋体"/>
                <w:szCs w:val="21"/>
              </w:rPr>
              <w:t>及品牌</w:t>
            </w:r>
          </w:p>
        </w:tc>
        <w:tc>
          <w:tcPr>
            <w:tcW w:w="717" w:type="dxa"/>
            <w:tcBorders>
              <w:top w:val="single" w:color="auto" w:sz="4" w:space="0"/>
              <w:left w:val="single" w:color="auto" w:sz="4" w:space="0"/>
              <w:bottom w:val="single" w:color="auto" w:sz="4" w:space="0"/>
              <w:right w:val="single" w:color="auto" w:sz="4" w:space="0"/>
            </w:tcBorders>
            <w:vAlign w:val="center"/>
          </w:tcPr>
          <w:p w14:paraId="2700B937">
            <w:pPr>
              <w:snapToGrid w:val="0"/>
              <w:spacing w:line="400" w:lineRule="exact"/>
              <w:jc w:val="center"/>
              <w:rPr>
                <w:rFonts w:ascii="宋体" w:hAnsi="宋体" w:cs="宋体"/>
                <w:szCs w:val="21"/>
              </w:rPr>
            </w:pPr>
            <w:r>
              <w:rPr>
                <w:rFonts w:hint="eastAsia" w:ascii="宋体" w:hAnsi="宋体" w:cs="宋体"/>
                <w:szCs w:val="21"/>
              </w:rPr>
              <w:t>单位</w:t>
            </w:r>
          </w:p>
        </w:tc>
        <w:tc>
          <w:tcPr>
            <w:tcW w:w="937" w:type="dxa"/>
            <w:tcBorders>
              <w:top w:val="single" w:color="auto" w:sz="4" w:space="0"/>
              <w:left w:val="single" w:color="auto" w:sz="4" w:space="0"/>
              <w:bottom w:val="single" w:color="auto" w:sz="4" w:space="0"/>
              <w:right w:val="single" w:color="auto" w:sz="4" w:space="0"/>
            </w:tcBorders>
            <w:vAlign w:val="center"/>
          </w:tcPr>
          <w:p w14:paraId="743F04B8">
            <w:pPr>
              <w:snapToGrid w:val="0"/>
              <w:spacing w:line="400" w:lineRule="exact"/>
              <w:jc w:val="center"/>
              <w:rPr>
                <w:rFonts w:ascii="宋体" w:hAnsi="宋体" w:cs="宋体"/>
                <w:szCs w:val="21"/>
              </w:rPr>
            </w:pPr>
            <w:r>
              <w:rPr>
                <w:rFonts w:hint="eastAsia" w:ascii="宋体" w:hAnsi="宋体" w:cs="宋体"/>
                <w:szCs w:val="21"/>
              </w:rPr>
              <w:t>数量</w:t>
            </w:r>
          </w:p>
        </w:tc>
        <w:tc>
          <w:tcPr>
            <w:tcW w:w="996" w:type="dxa"/>
            <w:tcBorders>
              <w:top w:val="single" w:color="auto" w:sz="4" w:space="0"/>
              <w:left w:val="single" w:color="auto" w:sz="4" w:space="0"/>
              <w:bottom w:val="single" w:color="auto" w:sz="4" w:space="0"/>
              <w:right w:val="single" w:color="auto" w:sz="4" w:space="0"/>
            </w:tcBorders>
            <w:vAlign w:val="center"/>
          </w:tcPr>
          <w:p w14:paraId="3D53B81B">
            <w:pPr>
              <w:snapToGrid w:val="0"/>
              <w:spacing w:line="400" w:lineRule="exact"/>
              <w:jc w:val="center"/>
              <w:rPr>
                <w:rFonts w:ascii="宋体" w:hAnsi="宋体" w:cs="宋体"/>
                <w:szCs w:val="21"/>
              </w:rPr>
            </w:pPr>
            <w:r>
              <w:rPr>
                <w:rFonts w:hint="eastAsia" w:ascii="宋体" w:hAnsi="宋体" w:cs="宋体"/>
                <w:szCs w:val="21"/>
              </w:rPr>
              <w:t>总价（元）</w:t>
            </w:r>
          </w:p>
        </w:tc>
        <w:tc>
          <w:tcPr>
            <w:tcW w:w="723" w:type="dxa"/>
            <w:tcBorders>
              <w:top w:val="single" w:color="auto" w:sz="4" w:space="0"/>
              <w:left w:val="single" w:color="auto" w:sz="4" w:space="0"/>
              <w:bottom w:val="single" w:color="auto" w:sz="4" w:space="0"/>
              <w:right w:val="single" w:color="auto" w:sz="4" w:space="0"/>
            </w:tcBorders>
            <w:vAlign w:val="center"/>
          </w:tcPr>
          <w:p w14:paraId="6F2F7C20">
            <w:pPr>
              <w:snapToGrid w:val="0"/>
              <w:spacing w:line="400" w:lineRule="exact"/>
              <w:jc w:val="center"/>
              <w:rPr>
                <w:rFonts w:ascii="宋体" w:hAnsi="宋体" w:cs="宋体"/>
                <w:szCs w:val="21"/>
              </w:rPr>
            </w:pPr>
            <w:r>
              <w:rPr>
                <w:rFonts w:hint="eastAsia" w:ascii="宋体" w:hAnsi="宋体" w:cs="宋体"/>
                <w:szCs w:val="21"/>
              </w:rPr>
              <w:t>备注</w:t>
            </w:r>
          </w:p>
        </w:tc>
      </w:tr>
      <w:tr w14:paraId="765F6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8" w:hRule="atLeast"/>
        </w:trPr>
        <w:tc>
          <w:tcPr>
            <w:tcW w:w="706" w:type="dxa"/>
            <w:tcBorders>
              <w:top w:val="single" w:color="auto" w:sz="4" w:space="0"/>
              <w:left w:val="single" w:color="auto" w:sz="4" w:space="0"/>
              <w:bottom w:val="single" w:color="auto" w:sz="4" w:space="0"/>
              <w:right w:val="single" w:color="auto" w:sz="4" w:space="0"/>
            </w:tcBorders>
            <w:vAlign w:val="center"/>
          </w:tcPr>
          <w:p w14:paraId="3E776A9F">
            <w:pPr>
              <w:snapToGrid w:val="0"/>
              <w:spacing w:line="400" w:lineRule="exact"/>
              <w:jc w:val="center"/>
              <w:rPr>
                <w:rFonts w:ascii="宋体" w:hAnsi="宋体" w:cs="宋体"/>
                <w:b/>
                <w:bCs/>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43816A54">
            <w:pPr>
              <w:snapToGrid w:val="0"/>
              <w:spacing w:line="400" w:lineRule="exact"/>
              <w:jc w:val="center"/>
              <w:rPr>
                <w:rFonts w:ascii="宋体" w:hAnsi="宋体" w:cs="宋体"/>
                <w:b/>
                <w:bCs/>
                <w:szCs w:val="21"/>
              </w:rPr>
            </w:pPr>
          </w:p>
        </w:tc>
        <w:tc>
          <w:tcPr>
            <w:tcW w:w="822" w:type="dxa"/>
            <w:tcBorders>
              <w:top w:val="single" w:color="auto" w:sz="4" w:space="0"/>
              <w:left w:val="single" w:color="auto" w:sz="4" w:space="0"/>
              <w:bottom w:val="single" w:color="auto" w:sz="4" w:space="0"/>
              <w:right w:val="single" w:color="auto" w:sz="4" w:space="0"/>
            </w:tcBorders>
            <w:vAlign w:val="center"/>
          </w:tcPr>
          <w:p w14:paraId="0E25E4FD">
            <w:pPr>
              <w:snapToGrid w:val="0"/>
              <w:spacing w:line="400" w:lineRule="exact"/>
              <w:jc w:val="center"/>
              <w:rPr>
                <w:rFonts w:ascii="宋体" w:hAnsi="宋体" w:cs="宋体"/>
                <w:b/>
                <w:bCs/>
                <w:szCs w:val="21"/>
              </w:rPr>
            </w:pPr>
          </w:p>
        </w:tc>
        <w:tc>
          <w:tcPr>
            <w:tcW w:w="1085" w:type="dxa"/>
            <w:tcBorders>
              <w:top w:val="single" w:color="auto" w:sz="4" w:space="0"/>
              <w:left w:val="single" w:color="auto" w:sz="4" w:space="0"/>
              <w:bottom w:val="single" w:color="auto" w:sz="4" w:space="0"/>
              <w:right w:val="single" w:color="auto" w:sz="4" w:space="0"/>
            </w:tcBorders>
            <w:vAlign w:val="center"/>
          </w:tcPr>
          <w:p w14:paraId="198203DC">
            <w:pPr>
              <w:snapToGrid w:val="0"/>
              <w:spacing w:line="400" w:lineRule="exact"/>
              <w:jc w:val="center"/>
              <w:rPr>
                <w:rFonts w:ascii="宋体" w:hAnsi="宋体" w:cs="宋体"/>
                <w:b/>
                <w:bCs/>
                <w:szCs w:val="21"/>
              </w:rPr>
            </w:pPr>
          </w:p>
        </w:tc>
        <w:tc>
          <w:tcPr>
            <w:tcW w:w="1063" w:type="dxa"/>
            <w:tcBorders>
              <w:top w:val="single" w:color="auto" w:sz="4" w:space="0"/>
              <w:left w:val="single" w:color="auto" w:sz="4" w:space="0"/>
              <w:bottom w:val="single" w:color="auto" w:sz="4" w:space="0"/>
              <w:right w:val="single" w:color="auto" w:sz="4" w:space="0"/>
            </w:tcBorders>
            <w:vAlign w:val="center"/>
          </w:tcPr>
          <w:p w14:paraId="779F8608">
            <w:pPr>
              <w:snapToGrid w:val="0"/>
              <w:spacing w:line="400" w:lineRule="exact"/>
              <w:jc w:val="center"/>
              <w:rPr>
                <w:rFonts w:ascii="宋体" w:hAnsi="宋体" w:cs="宋体"/>
                <w:b/>
                <w:bCs/>
                <w:szCs w:val="21"/>
              </w:rPr>
            </w:pPr>
          </w:p>
        </w:tc>
        <w:tc>
          <w:tcPr>
            <w:tcW w:w="1283" w:type="dxa"/>
            <w:tcBorders>
              <w:top w:val="single" w:color="auto" w:sz="4" w:space="0"/>
              <w:left w:val="single" w:color="auto" w:sz="4" w:space="0"/>
              <w:bottom w:val="single" w:color="auto" w:sz="4" w:space="0"/>
              <w:right w:val="single" w:color="auto" w:sz="4" w:space="0"/>
            </w:tcBorders>
            <w:vAlign w:val="center"/>
          </w:tcPr>
          <w:p w14:paraId="77C88BF0">
            <w:pPr>
              <w:snapToGrid w:val="0"/>
              <w:spacing w:line="400" w:lineRule="exact"/>
              <w:jc w:val="center"/>
              <w:rPr>
                <w:rFonts w:ascii="宋体" w:hAnsi="宋体" w:cs="宋体"/>
                <w:b/>
                <w:bCs/>
                <w:szCs w:val="21"/>
              </w:rPr>
            </w:pPr>
          </w:p>
        </w:tc>
        <w:tc>
          <w:tcPr>
            <w:tcW w:w="717" w:type="dxa"/>
            <w:tcBorders>
              <w:top w:val="single" w:color="auto" w:sz="4" w:space="0"/>
              <w:left w:val="single" w:color="auto" w:sz="4" w:space="0"/>
              <w:bottom w:val="single" w:color="auto" w:sz="4" w:space="0"/>
              <w:right w:val="single" w:color="auto" w:sz="4" w:space="0"/>
            </w:tcBorders>
            <w:vAlign w:val="center"/>
          </w:tcPr>
          <w:p w14:paraId="10500F82">
            <w:pPr>
              <w:snapToGrid w:val="0"/>
              <w:spacing w:line="400" w:lineRule="exact"/>
              <w:jc w:val="center"/>
              <w:rPr>
                <w:rFonts w:ascii="宋体" w:hAnsi="宋体" w:cs="宋体"/>
                <w:b/>
                <w:bCs/>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6DF8A0C0">
            <w:pPr>
              <w:snapToGrid w:val="0"/>
              <w:spacing w:line="400" w:lineRule="exact"/>
              <w:jc w:val="center"/>
              <w:rPr>
                <w:rFonts w:ascii="宋体" w:hAnsi="宋体" w:cs="宋体"/>
                <w:b/>
                <w:bCs/>
                <w:szCs w:val="21"/>
              </w:rPr>
            </w:pPr>
          </w:p>
        </w:tc>
        <w:tc>
          <w:tcPr>
            <w:tcW w:w="996" w:type="dxa"/>
            <w:tcBorders>
              <w:top w:val="single" w:color="auto" w:sz="4" w:space="0"/>
              <w:left w:val="single" w:color="auto" w:sz="4" w:space="0"/>
              <w:bottom w:val="single" w:color="auto" w:sz="4" w:space="0"/>
              <w:right w:val="single" w:color="auto" w:sz="4" w:space="0"/>
            </w:tcBorders>
            <w:vAlign w:val="center"/>
          </w:tcPr>
          <w:p w14:paraId="558896DE">
            <w:pPr>
              <w:snapToGrid w:val="0"/>
              <w:spacing w:line="400" w:lineRule="exact"/>
              <w:jc w:val="center"/>
              <w:rPr>
                <w:rFonts w:ascii="宋体" w:hAnsi="宋体" w:cs="宋体"/>
                <w:b/>
                <w:bCs/>
                <w:szCs w:val="21"/>
              </w:rPr>
            </w:pPr>
          </w:p>
        </w:tc>
        <w:tc>
          <w:tcPr>
            <w:tcW w:w="723" w:type="dxa"/>
            <w:tcBorders>
              <w:top w:val="single" w:color="auto" w:sz="4" w:space="0"/>
              <w:left w:val="single" w:color="auto" w:sz="4" w:space="0"/>
              <w:bottom w:val="single" w:color="auto" w:sz="4" w:space="0"/>
              <w:right w:val="single" w:color="auto" w:sz="4" w:space="0"/>
            </w:tcBorders>
            <w:vAlign w:val="center"/>
          </w:tcPr>
          <w:p w14:paraId="675C0769">
            <w:pPr>
              <w:snapToGrid w:val="0"/>
              <w:spacing w:line="400" w:lineRule="exact"/>
              <w:jc w:val="center"/>
              <w:rPr>
                <w:rFonts w:ascii="宋体" w:hAnsi="宋体" w:cs="宋体"/>
                <w:b/>
                <w:bCs/>
                <w:szCs w:val="21"/>
              </w:rPr>
            </w:pPr>
          </w:p>
        </w:tc>
      </w:tr>
      <w:tr w14:paraId="0DDAFD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8" w:hRule="atLeast"/>
        </w:trPr>
        <w:tc>
          <w:tcPr>
            <w:tcW w:w="706" w:type="dxa"/>
            <w:tcBorders>
              <w:top w:val="single" w:color="auto" w:sz="4" w:space="0"/>
              <w:left w:val="single" w:color="auto" w:sz="4" w:space="0"/>
              <w:bottom w:val="single" w:color="auto" w:sz="4" w:space="0"/>
              <w:right w:val="single" w:color="auto" w:sz="4" w:space="0"/>
            </w:tcBorders>
            <w:vAlign w:val="center"/>
          </w:tcPr>
          <w:p w14:paraId="157463C1">
            <w:pPr>
              <w:snapToGrid w:val="0"/>
              <w:spacing w:line="400" w:lineRule="exact"/>
              <w:jc w:val="center"/>
              <w:rPr>
                <w:rFonts w:ascii="宋体" w:hAnsi="宋体" w:cs="宋体"/>
                <w:b/>
                <w:bCs/>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38CC852F">
            <w:pPr>
              <w:snapToGrid w:val="0"/>
              <w:spacing w:line="400" w:lineRule="exact"/>
              <w:jc w:val="center"/>
              <w:rPr>
                <w:rFonts w:ascii="宋体" w:hAnsi="宋体" w:cs="宋体"/>
                <w:b/>
                <w:bCs/>
                <w:szCs w:val="21"/>
              </w:rPr>
            </w:pPr>
          </w:p>
        </w:tc>
        <w:tc>
          <w:tcPr>
            <w:tcW w:w="822" w:type="dxa"/>
            <w:tcBorders>
              <w:top w:val="single" w:color="auto" w:sz="4" w:space="0"/>
              <w:left w:val="single" w:color="auto" w:sz="4" w:space="0"/>
              <w:bottom w:val="single" w:color="auto" w:sz="4" w:space="0"/>
              <w:right w:val="single" w:color="auto" w:sz="4" w:space="0"/>
            </w:tcBorders>
            <w:vAlign w:val="center"/>
          </w:tcPr>
          <w:p w14:paraId="61D09D18">
            <w:pPr>
              <w:snapToGrid w:val="0"/>
              <w:spacing w:line="400" w:lineRule="exact"/>
              <w:jc w:val="center"/>
              <w:rPr>
                <w:rFonts w:ascii="宋体" w:hAnsi="宋体" w:cs="宋体"/>
                <w:b/>
                <w:bCs/>
                <w:szCs w:val="21"/>
              </w:rPr>
            </w:pPr>
          </w:p>
        </w:tc>
        <w:tc>
          <w:tcPr>
            <w:tcW w:w="1085" w:type="dxa"/>
            <w:tcBorders>
              <w:top w:val="single" w:color="auto" w:sz="4" w:space="0"/>
              <w:left w:val="single" w:color="auto" w:sz="4" w:space="0"/>
              <w:bottom w:val="single" w:color="auto" w:sz="4" w:space="0"/>
              <w:right w:val="single" w:color="auto" w:sz="4" w:space="0"/>
            </w:tcBorders>
            <w:vAlign w:val="center"/>
          </w:tcPr>
          <w:p w14:paraId="60E06298">
            <w:pPr>
              <w:snapToGrid w:val="0"/>
              <w:spacing w:line="400" w:lineRule="exact"/>
              <w:jc w:val="center"/>
              <w:rPr>
                <w:rFonts w:ascii="宋体" w:hAnsi="宋体" w:cs="宋体"/>
                <w:b/>
                <w:bCs/>
                <w:szCs w:val="21"/>
              </w:rPr>
            </w:pPr>
          </w:p>
        </w:tc>
        <w:tc>
          <w:tcPr>
            <w:tcW w:w="1063" w:type="dxa"/>
            <w:tcBorders>
              <w:top w:val="single" w:color="auto" w:sz="4" w:space="0"/>
              <w:left w:val="single" w:color="auto" w:sz="4" w:space="0"/>
              <w:bottom w:val="single" w:color="auto" w:sz="4" w:space="0"/>
              <w:right w:val="single" w:color="auto" w:sz="4" w:space="0"/>
            </w:tcBorders>
            <w:vAlign w:val="center"/>
          </w:tcPr>
          <w:p w14:paraId="367FDE39">
            <w:pPr>
              <w:snapToGrid w:val="0"/>
              <w:spacing w:line="400" w:lineRule="exact"/>
              <w:jc w:val="center"/>
              <w:rPr>
                <w:rFonts w:ascii="宋体" w:hAnsi="宋体" w:cs="宋体"/>
                <w:b/>
                <w:bCs/>
                <w:szCs w:val="21"/>
              </w:rPr>
            </w:pPr>
          </w:p>
        </w:tc>
        <w:tc>
          <w:tcPr>
            <w:tcW w:w="1283" w:type="dxa"/>
            <w:tcBorders>
              <w:top w:val="single" w:color="auto" w:sz="4" w:space="0"/>
              <w:left w:val="single" w:color="auto" w:sz="4" w:space="0"/>
              <w:bottom w:val="single" w:color="auto" w:sz="4" w:space="0"/>
              <w:right w:val="single" w:color="auto" w:sz="4" w:space="0"/>
            </w:tcBorders>
            <w:vAlign w:val="center"/>
          </w:tcPr>
          <w:p w14:paraId="7F5FD103">
            <w:pPr>
              <w:snapToGrid w:val="0"/>
              <w:spacing w:line="400" w:lineRule="exact"/>
              <w:jc w:val="center"/>
              <w:rPr>
                <w:rFonts w:ascii="宋体" w:hAnsi="宋体" w:cs="宋体"/>
                <w:b/>
                <w:bCs/>
                <w:szCs w:val="21"/>
              </w:rPr>
            </w:pPr>
          </w:p>
        </w:tc>
        <w:tc>
          <w:tcPr>
            <w:tcW w:w="717" w:type="dxa"/>
            <w:tcBorders>
              <w:top w:val="single" w:color="auto" w:sz="4" w:space="0"/>
              <w:left w:val="single" w:color="auto" w:sz="4" w:space="0"/>
              <w:bottom w:val="single" w:color="auto" w:sz="4" w:space="0"/>
              <w:right w:val="single" w:color="auto" w:sz="4" w:space="0"/>
            </w:tcBorders>
            <w:vAlign w:val="center"/>
          </w:tcPr>
          <w:p w14:paraId="5C5CC0BF">
            <w:pPr>
              <w:snapToGrid w:val="0"/>
              <w:spacing w:line="400" w:lineRule="exact"/>
              <w:jc w:val="center"/>
              <w:rPr>
                <w:rFonts w:ascii="宋体" w:hAnsi="宋体" w:cs="宋体"/>
                <w:b/>
                <w:bCs/>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724B2BF5">
            <w:pPr>
              <w:snapToGrid w:val="0"/>
              <w:spacing w:line="400" w:lineRule="exact"/>
              <w:jc w:val="center"/>
              <w:rPr>
                <w:rFonts w:ascii="宋体" w:hAnsi="宋体" w:cs="宋体"/>
                <w:b/>
                <w:bCs/>
                <w:szCs w:val="21"/>
              </w:rPr>
            </w:pPr>
          </w:p>
        </w:tc>
        <w:tc>
          <w:tcPr>
            <w:tcW w:w="996" w:type="dxa"/>
            <w:tcBorders>
              <w:top w:val="single" w:color="auto" w:sz="4" w:space="0"/>
              <w:left w:val="single" w:color="auto" w:sz="4" w:space="0"/>
              <w:bottom w:val="single" w:color="auto" w:sz="4" w:space="0"/>
              <w:right w:val="single" w:color="auto" w:sz="4" w:space="0"/>
            </w:tcBorders>
            <w:vAlign w:val="center"/>
          </w:tcPr>
          <w:p w14:paraId="120F74F9">
            <w:pPr>
              <w:snapToGrid w:val="0"/>
              <w:spacing w:line="400" w:lineRule="exact"/>
              <w:jc w:val="center"/>
              <w:rPr>
                <w:rFonts w:ascii="宋体" w:hAnsi="宋体" w:cs="宋体"/>
                <w:b/>
                <w:bCs/>
                <w:szCs w:val="21"/>
              </w:rPr>
            </w:pPr>
          </w:p>
        </w:tc>
        <w:tc>
          <w:tcPr>
            <w:tcW w:w="723" w:type="dxa"/>
            <w:tcBorders>
              <w:top w:val="single" w:color="auto" w:sz="4" w:space="0"/>
              <w:left w:val="single" w:color="auto" w:sz="4" w:space="0"/>
              <w:bottom w:val="single" w:color="auto" w:sz="4" w:space="0"/>
              <w:right w:val="single" w:color="auto" w:sz="4" w:space="0"/>
            </w:tcBorders>
            <w:vAlign w:val="center"/>
          </w:tcPr>
          <w:p w14:paraId="172F5011">
            <w:pPr>
              <w:snapToGrid w:val="0"/>
              <w:spacing w:line="400" w:lineRule="exact"/>
              <w:jc w:val="center"/>
              <w:rPr>
                <w:rFonts w:ascii="宋体" w:hAnsi="宋体" w:cs="宋体"/>
                <w:b/>
                <w:bCs/>
                <w:szCs w:val="21"/>
              </w:rPr>
            </w:pPr>
          </w:p>
        </w:tc>
      </w:tr>
    </w:tbl>
    <w:p w14:paraId="0B8C528B">
      <w:pPr>
        <w:snapToGrid w:val="0"/>
        <w:spacing w:before="50" w:after="50" w:line="360" w:lineRule="auto"/>
        <w:rPr>
          <w:rFonts w:ascii="宋体" w:hAnsi="宋体"/>
          <w:szCs w:val="21"/>
        </w:rPr>
      </w:pPr>
    </w:p>
    <w:p w14:paraId="18EB64C3">
      <w:pPr>
        <w:snapToGrid w:val="0"/>
        <w:spacing w:before="50" w:after="50" w:line="360" w:lineRule="auto"/>
        <w:rPr>
          <w:rFonts w:ascii="宋体" w:hAnsi="宋体"/>
          <w:szCs w:val="21"/>
        </w:rPr>
      </w:pPr>
      <w:r>
        <w:rPr>
          <w:rFonts w:hint="eastAsia" w:ascii="宋体" w:hAnsi="宋体"/>
          <w:szCs w:val="21"/>
        </w:rPr>
        <w:t>备注：</w:t>
      </w:r>
    </w:p>
    <w:p w14:paraId="60D8F4CC">
      <w:pPr>
        <w:snapToGrid w:val="0"/>
        <w:spacing w:before="50" w:after="50" w:line="360" w:lineRule="auto"/>
        <w:rPr>
          <w:rFonts w:ascii="宋体" w:hAnsi="宋体"/>
          <w:szCs w:val="21"/>
        </w:rPr>
      </w:pPr>
      <w:r>
        <w:rPr>
          <w:rFonts w:hint="eastAsia" w:ascii="宋体" w:hAnsi="宋体"/>
          <w:szCs w:val="21"/>
        </w:rPr>
        <w:t>以上性能配置清单中“部件编号、名称、注册证号、规格型号、生产厂家及品牌、单位、数量、总价（元）”必须如实填写完整，品牌、规格型号没有则填无，填写有缺漏</w:t>
      </w:r>
      <w:r>
        <w:rPr>
          <w:rFonts w:hint="eastAsia" w:ascii="宋体" w:hAnsi="宋体"/>
          <w:bCs/>
          <w:szCs w:val="21"/>
        </w:rPr>
        <w:t>的，</w:t>
      </w:r>
      <w:r>
        <w:rPr>
          <w:rFonts w:hint="eastAsia" w:ascii="宋体" w:hAnsi="宋体"/>
          <w:b/>
          <w:szCs w:val="21"/>
        </w:rPr>
        <w:t>作无效投标处理。</w:t>
      </w:r>
      <w:r>
        <w:rPr>
          <w:rFonts w:hint="eastAsia" w:ascii="宋体" w:hAnsi="宋体"/>
          <w:szCs w:val="21"/>
        </w:rPr>
        <w:t>货物名称、数量、单位、品牌必须与“开标一览表”一致，</w:t>
      </w:r>
      <w:r>
        <w:rPr>
          <w:rFonts w:hint="eastAsia" w:ascii="宋体" w:hAnsi="宋体"/>
          <w:b/>
          <w:szCs w:val="21"/>
        </w:rPr>
        <w:t>否则作无效投标处理。</w:t>
      </w:r>
    </w:p>
    <w:p w14:paraId="59065BB3">
      <w:pPr>
        <w:snapToGrid w:val="0"/>
        <w:spacing w:before="50" w:after="50" w:line="480" w:lineRule="auto"/>
        <w:ind w:left="-6" w:leftChars="-15" w:right="-817" w:rightChars="-389" w:hanging="25" w:hangingChars="12"/>
        <w:jc w:val="left"/>
        <w:rPr>
          <w:rFonts w:ascii="宋体" w:hAnsi="宋体"/>
          <w:b/>
          <w:bCs/>
          <w:szCs w:val="21"/>
        </w:rPr>
      </w:pPr>
    </w:p>
    <w:p w14:paraId="0BAE131A">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5E9649CA">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0B20BACD">
      <w:pPr>
        <w:snapToGrid w:val="0"/>
        <w:spacing w:before="50" w:after="50" w:line="480" w:lineRule="auto"/>
        <w:ind w:left="-6" w:leftChars="-15" w:right="-817" w:rightChars="-389" w:hanging="25" w:hangingChars="12"/>
        <w:jc w:val="left"/>
        <w:rPr>
          <w:rFonts w:ascii="宋体" w:hAnsi="宋体"/>
          <w:sz w:val="20"/>
          <w:szCs w:val="22"/>
        </w:rPr>
      </w:pPr>
      <w:r>
        <w:rPr>
          <w:rFonts w:hint="eastAsia" w:ascii="宋体" w:hAnsi="宋体"/>
          <w:b/>
          <w:bCs/>
          <w:szCs w:val="21"/>
        </w:rPr>
        <w:t>日期：    年   月   日</w:t>
      </w:r>
    </w:p>
    <w:p w14:paraId="341304FE">
      <w:pPr>
        <w:snapToGrid w:val="0"/>
        <w:spacing w:beforeLines="50" w:line="480" w:lineRule="auto"/>
        <w:rPr>
          <w:rFonts w:ascii="宋体" w:hAnsi="宋体"/>
          <w:szCs w:val="16"/>
        </w:rPr>
      </w:pPr>
    </w:p>
    <w:p w14:paraId="12D7D812">
      <w:pPr>
        <w:snapToGrid w:val="0"/>
        <w:spacing w:before="50" w:afterLines="50"/>
        <w:jc w:val="left"/>
        <w:rPr>
          <w:rFonts w:ascii="宋体" w:hAnsi="宋体"/>
          <w:sz w:val="24"/>
          <w:szCs w:val="20"/>
        </w:rPr>
      </w:pPr>
    </w:p>
    <w:p w14:paraId="05484C21">
      <w:pPr>
        <w:snapToGrid w:val="0"/>
        <w:spacing w:before="50" w:afterLines="50"/>
        <w:jc w:val="left"/>
        <w:rPr>
          <w:rFonts w:ascii="宋体" w:hAnsi="宋体"/>
          <w:sz w:val="24"/>
          <w:szCs w:val="20"/>
        </w:rPr>
      </w:pPr>
    </w:p>
    <w:p w14:paraId="408BA0E6">
      <w:pPr>
        <w:snapToGrid w:val="0"/>
        <w:spacing w:beforeLines="50" w:after="50"/>
        <w:ind w:left="142"/>
        <w:jc w:val="left"/>
        <w:rPr>
          <w:rFonts w:ascii="宋体" w:hAnsi="宋体"/>
          <w:b/>
          <w:sz w:val="24"/>
        </w:rPr>
      </w:pPr>
      <w:r>
        <w:rPr>
          <w:rFonts w:ascii="宋体" w:hAnsi="宋体"/>
          <w:b/>
          <w:sz w:val="24"/>
        </w:rPr>
        <w:br w:type="page"/>
      </w:r>
      <w:r>
        <w:rPr>
          <w:rFonts w:hint="eastAsia" w:ascii="宋体" w:hAnsi="宋体"/>
          <w:b/>
          <w:sz w:val="24"/>
        </w:rPr>
        <w:t>7.技术偏离表格式</w:t>
      </w:r>
    </w:p>
    <w:p w14:paraId="57C27461">
      <w:pPr>
        <w:snapToGrid w:val="0"/>
        <w:spacing w:beforeLines="50" w:after="50"/>
        <w:ind w:left="142"/>
        <w:jc w:val="left"/>
        <w:rPr>
          <w:rFonts w:ascii="宋体" w:hAnsi="宋体"/>
          <w:b/>
          <w:szCs w:val="21"/>
        </w:rPr>
      </w:pPr>
    </w:p>
    <w:p w14:paraId="4B921341">
      <w:pPr>
        <w:snapToGrid w:val="0"/>
        <w:spacing w:beforeLines="50" w:after="50"/>
        <w:ind w:left="142"/>
        <w:jc w:val="center"/>
        <w:rPr>
          <w:rFonts w:ascii="宋体" w:hAnsi="宋体"/>
          <w:b/>
          <w:sz w:val="24"/>
        </w:rPr>
      </w:pPr>
      <w:r>
        <w:rPr>
          <w:rFonts w:hint="eastAsia" w:ascii="宋体" w:hAnsi="宋体"/>
          <w:b/>
          <w:sz w:val="24"/>
        </w:rPr>
        <w:t>技术偏离表</w:t>
      </w:r>
    </w:p>
    <w:p w14:paraId="69A9FCEA">
      <w:pPr>
        <w:pStyle w:val="15"/>
        <w:rPr>
          <w:rFonts w:hAnsi="宋体"/>
          <w:sz w:val="21"/>
        </w:rPr>
      </w:pPr>
      <w:r>
        <w:rPr>
          <w:rFonts w:hint="eastAsia" w:hAnsi="宋体"/>
          <w:sz w:val="21"/>
        </w:rPr>
        <w:t>所投分标：</w:t>
      </w:r>
      <w:r>
        <w:rPr>
          <w:rFonts w:hint="eastAsia" w:hAnsi="宋体"/>
          <w:sz w:val="21"/>
          <w:u w:val="single"/>
        </w:rPr>
        <w:t>标项</w:t>
      </w:r>
    </w:p>
    <w:tbl>
      <w:tblPr>
        <w:tblStyle w:val="25"/>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389A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7DCA0387">
            <w:pPr>
              <w:pStyle w:val="15"/>
              <w:spacing w:line="400" w:lineRule="exact"/>
              <w:jc w:val="center"/>
              <w:rPr>
                <w:rFonts w:hAnsi="宋体" w:cs="Courier New"/>
                <w:b/>
                <w:bCs/>
                <w:kern w:val="2"/>
                <w:sz w:val="21"/>
              </w:rPr>
            </w:pPr>
            <w:r>
              <w:rPr>
                <w:rFonts w:hint="eastAsia" w:hAnsi="宋体" w:cs="Courier New"/>
                <w:b/>
                <w:bCs/>
                <w:kern w:val="2"/>
                <w:sz w:val="21"/>
              </w:rPr>
              <w:t>项号</w:t>
            </w:r>
          </w:p>
        </w:tc>
        <w:tc>
          <w:tcPr>
            <w:tcW w:w="2143" w:type="dxa"/>
            <w:vAlign w:val="center"/>
          </w:tcPr>
          <w:p w14:paraId="27387DB0">
            <w:pPr>
              <w:pStyle w:val="15"/>
              <w:spacing w:line="400" w:lineRule="exact"/>
              <w:jc w:val="center"/>
              <w:rPr>
                <w:rFonts w:hAnsi="宋体" w:cs="Courier New"/>
                <w:b/>
                <w:bCs/>
                <w:kern w:val="2"/>
                <w:sz w:val="21"/>
              </w:rPr>
            </w:pPr>
            <w:r>
              <w:rPr>
                <w:rFonts w:hint="eastAsia" w:hAnsi="宋体" w:cs="Courier New"/>
                <w:b/>
                <w:bCs/>
                <w:kern w:val="2"/>
                <w:sz w:val="21"/>
              </w:rPr>
              <w:t>标的的名称</w:t>
            </w:r>
          </w:p>
        </w:tc>
        <w:tc>
          <w:tcPr>
            <w:tcW w:w="1834" w:type="dxa"/>
            <w:vAlign w:val="center"/>
          </w:tcPr>
          <w:p w14:paraId="5B4440E1">
            <w:pPr>
              <w:pStyle w:val="15"/>
              <w:spacing w:line="400" w:lineRule="exact"/>
              <w:jc w:val="center"/>
              <w:rPr>
                <w:rFonts w:hAnsi="宋体" w:cs="Courier New"/>
                <w:b/>
                <w:bCs/>
                <w:kern w:val="2"/>
                <w:sz w:val="21"/>
              </w:rPr>
            </w:pPr>
            <w:r>
              <w:rPr>
                <w:rFonts w:hint="eastAsia" w:hAnsi="宋体" w:cs="Courier New"/>
                <w:b/>
                <w:bCs/>
                <w:kern w:val="2"/>
                <w:sz w:val="21"/>
              </w:rPr>
              <w:t>招标要求</w:t>
            </w:r>
          </w:p>
        </w:tc>
        <w:tc>
          <w:tcPr>
            <w:tcW w:w="2181" w:type="dxa"/>
            <w:vAlign w:val="center"/>
          </w:tcPr>
          <w:p w14:paraId="081F6B0A">
            <w:pPr>
              <w:pStyle w:val="15"/>
              <w:spacing w:line="400" w:lineRule="exact"/>
              <w:jc w:val="center"/>
              <w:rPr>
                <w:rFonts w:hAnsi="宋体" w:cs="Courier New"/>
                <w:b/>
                <w:bCs/>
                <w:kern w:val="2"/>
                <w:sz w:val="21"/>
              </w:rPr>
            </w:pPr>
            <w:r>
              <w:rPr>
                <w:rFonts w:hint="eastAsia" w:hAnsi="宋体" w:cs="Courier New"/>
                <w:b/>
                <w:bCs/>
                <w:kern w:val="2"/>
                <w:sz w:val="21"/>
              </w:rPr>
              <w:t>投标响应</w:t>
            </w:r>
          </w:p>
        </w:tc>
        <w:tc>
          <w:tcPr>
            <w:tcW w:w="1934" w:type="dxa"/>
            <w:vAlign w:val="center"/>
          </w:tcPr>
          <w:p w14:paraId="091E4176">
            <w:pPr>
              <w:pStyle w:val="15"/>
              <w:spacing w:line="400" w:lineRule="exact"/>
              <w:jc w:val="center"/>
              <w:rPr>
                <w:rFonts w:hAnsi="宋体" w:cs="Courier New"/>
                <w:b/>
                <w:bCs/>
                <w:kern w:val="2"/>
                <w:sz w:val="21"/>
              </w:rPr>
            </w:pPr>
            <w:r>
              <w:rPr>
                <w:rFonts w:hint="eastAsia" w:hAnsi="宋体" w:cs="Courier New"/>
                <w:b/>
                <w:bCs/>
                <w:kern w:val="2"/>
                <w:sz w:val="21"/>
              </w:rPr>
              <w:t>偏离说明</w:t>
            </w:r>
          </w:p>
        </w:tc>
      </w:tr>
      <w:tr w14:paraId="37E6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D03CC81">
            <w:pPr>
              <w:pStyle w:val="15"/>
              <w:spacing w:line="600" w:lineRule="exact"/>
              <w:jc w:val="center"/>
              <w:rPr>
                <w:rFonts w:hAnsi="宋体" w:cs="Courier New"/>
                <w:kern w:val="2"/>
                <w:sz w:val="21"/>
              </w:rPr>
            </w:pPr>
          </w:p>
        </w:tc>
        <w:tc>
          <w:tcPr>
            <w:tcW w:w="2143" w:type="dxa"/>
            <w:vAlign w:val="center"/>
          </w:tcPr>
          <w:p w14:paraId="6EA491D8">
            <w:pPr>
              <w:pStyle w:val="15"/>
              <w:spacing w:line="600" w:lineRule="exact"/>
              <w:jc w:val="center"/>
              <w:rPr>
                <w:rFonts w:hAnsi="宋体" w:cs="Courier New"/>
                <w:kern w:val="2"/>
                <w:sz w:val="21"/>
              </w:rPr>
            </w:pPr>
          </w:p>
        </w:tc>
        <w:tc>
          <w:tcPr>
            <w:tcW w:w="1834" w:type="dxa"/>
            <w:vAlign w:val="center"/>
          </w:tcPr>
          <w:p w14:paraId="61DA1761">
            <w:pPr>
              <w:pStyle w:val="15"/>
              <w:spacing w:line="600" w:lineRule="exact"/>
              <w:jc w:val="center"/>
              <w:rPr>
                <w:rFonts w:hAnsi="宋体" w:cs="Courier New"/>
                <w:kern w:val="2"/>
                <w:sz w:val="21"/>
              </w:rPr>
            </w:pPr>
          </w:p>
        </w:tc>
        <w:tc>
          <w:tcPr>
            <w:tcW w:w="2181" w:type="dxa"/>
            <w:vAlign w:val="center"/>
          </w:tcPr>
          <w:p w14:paraId="7F2AB167">
            <w:pPr>
              <w:pStyle w:val="15"/>
              <w:spacing w:line="600" w:lineRule="exact"/>
              <w:jc w:val="center"/>
              <w:rPr>
                <w:rFonts w:hAnsi="宋体" w:cs="Courier New"/>
                <w:kern w:val="2"/>
                <w:sz w:val="21"/>
              </w:rPr>
            </w:pPr>
          </w:p>
        </w:tc>
        <w:tc>
          <w:tcPr>
            <w:tcW w:w="1934" w:type="dxa"/>
            <w:vAlign w:val="center"/>
          </w:tcPr>
          <w:p w14:paraId="7E544DAB">
            <w:pPr>
              <w:pStyle w:val="15"/>
              <w:spacing w:line="600" w:lineRule="exact"/>
              <w:jc w:val="center"/>
              <w:rPr>
                <w:rFonts w:hAnsi="宋体" w:cs="Courier New"/>
                <w:kern w:val="2"/>
                <w:sz w:val="21"/>
              </w:rPr>
            </w:pPr>
          </w:p>
        </w:tc>
      </w:tr>
      <w:tr w14:paraId="78C2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C49E756">
            <w:pPr>
              <w:pStyle w:val="15"/>
              <w:spacing w:line="600" w:lineRule="exact"/>
              <w:rPr>
                <w:rFonts w:hAnsi="宋体" w:cs="Courier New"/>
                <w:kern w:val="2"/>
                <w:sz w:val="21"/>
              </w:rPr>
            </w:pPr>
          </w:p>
        </w:tc>
        <w:tc>
          <w:tcPr>
            <w:tcW w:w="2143" w:type="dxa"/>
          </w:tcPr>
          <w:p w14:paraId="31DCC5D5">
            <w:pPr>
              <w:pStyle w:val="15"/>
              <w:spacing w:line="600" w:lineRule="exact"/>
              <w:rPr>
                <w:rFonts w:hAnsi="宋体" w:cs="Courier New"/>
                <w:kern w:val="2"/>
                <w:sz w:val="21"/>
              </w:rPr>
            </w:pPr>
          </w:p>
        </w:tc>
        <w:tc>
          <w:tcPr>
            <w:tcW w:w="1834" w:type="dxa"/>
          </w:tcPr>
          <w:p w14:paraId="31F6E709">
            <w:pPr>
              <w:pStyle w:val="15"/>
              <w:spacing w:line="600" w:lineRule="exact"/>
              <w:rPr>
                <w:rFonts w:hAnsi="宋体" w:cs="Courier New"/>
                <w:kern w:val="2"/>
                <w:sz w:val="21"/>
              </w:rPr>
            </w:pPr>
          </w:p>
        </w:tc>
        <w:tc>
          <w:tcPr>
            <w:tcW w:w="2181" w:type="dxa"/>
          </w:tcPr>
          <w:p w14:paraId="6CCAA511">
            <w:pPr>
              <w:pStyle w:val="15"/>
              <w:spacing w:line="600" w:lineRule="exact"/>
              <w:rPr>
                <w:rFonts w:hAnsi="宋体" w:cs="Courier New"/>
                <w:kern w:val="2"/>
                <w:sz w:val="21"/>
              </w:rPr>
            </w:pPr>
          </w:p>
        </w:tc>
        <w:tc>
          <w:tcPr>
            <w:tcW w:w="1934" w:type="dxa"/>
          </w:tcPr>
          <w:p w14:paraId="68DEFAF5">
            <w:pPr>
              <w:pStyle w:val="15"/>
              <w:spacing w:line="600" w:lineRule="exact"/>
              <w:rPr>
                <w:rFonts w:hAnsi="宋体" w:cs="Courier New"/>
                <w:kern w:val="2"/>
                <w:sz w:val="21"/>
              </w:rPr>
            </w:pPr>
          </w:p>
        </w:tc>
      </w:tr>
      <w:tr w14:paraId="25EE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31F6876">
            <w:pPr>
              <w:pStyle w:val="15"/>
              <w:spacing w:line="600" w:lineRule="exact"/>
              <w:rPr>
                <w:rFonts w:hAnsi="宋体" w:cs="Courier New"/>
                <w:kern w:val="2"/>
                <w:sz w:val="21"/>
              </w:rPr>
            </w:pPr>
          </w:p>
        </w:tc>
        <w:tc>
          <w:tcPr>
            <w:tcW w:w="2143" w:type="dxa"/>
          </w:tcPr>
          <w:p w14:paraId="04AB1387">
            <w:pPr>
              <w:pStyle w:val="15"/>
              <w:spacing w:line="600" w:lineRule="exact"/>
              <w:rPr>
                <w:rFonts w:hAnsi="宋体" w:cs="Courier New"/>
                <w:kern w:val="2"/>
                <w:sz w:val="21"/>
              </w:rPr>
            </w:pPr>
          </w:p>
        </w:tc>
        <w:tc>
          <w:tcPr>
            <w:tcW w:w="1834" w:type="dxa"/>
          </w:tcPr>
          <w:p w14:paraId="182862EC">
            <w:pPr>
              <w:pStyle w:val="15"/>
              <w:spacing w:line="600" w:lineRule="exact"/>
              <w:rPr>
                <w:rFonts w:hAnsi="宋体" w:cs="Courier New"/>
                <w:kern w:val="2"/>
                <w:sz w:val="21"/>
              </w:rPr>
            </w:pPr>
          </w:p>
        </w:tc>
        <w:tc>
          <w:tcPr>
            <w:tcW w:w="2181" w:type="dxa"/>
          </w:tcPr>
          <w:p w14:paraId="2BEEB952">
            <w:pPr>
              <w:pStyle w:val="15"/>
              <w:spacing w:line="600" w:lineRule="exact"/>
              <w:rPr>
                <w:rFonts w:hAnsi="宋体" w:cs="Courier New"/>
                <w:kern w:val="2"/>
                <w:sz w:val="21"/>
              </w:rPr>
            </w:pPr>
          </w:p>
        </w:tc>
        <w:tc>
          <w:tcPr>
            <w:tcW w:w="1934" w:type="dxa"/>
          </w:tcPr>
          <w:p w14:paraId="66C2016B">
            <w:pPr>
              <w:pStyle w:val="15"/>
              <w:spacing w:line="600" w:lineRule="exact"/>
              <w:rPr>
                <w:rFonts w:hAnsi="宋体" w:cs="Courier New"/>
                <w:kern w:val="2"/>
                <w:sz w:val="21"/>
              </w:rPr>
            </w:pPr>
          </w:p>
        </w:tc>
      </w:tr>
      <w:tr w14:paraId="3FAD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6DF555A">
            <w:pPr>
              <w:pStyle w:val="15"/>
              <w:spacing w:line="600" w:lineRule="exact"/>
              <w:rPr>
                <w:rFonts w:hAnsi="宋体" w:cs="Courier New"/>
                <w:kern w:val="2"/>
                <w:sz w:val="21"/>
              </w:rPr>
            </w:pPr>
          </w:p>
        </w:tc>
        <w:tc>
          <w:tcPr>
            <w:tcW w:w="2143" w:type="dxa"/>
          </w:tcPr>
          <w:p w14:paraId="06F6DF8B">
            <w:pPr>
              <w:pStyle w:val="15"/>
              <w:spacing w:line="600" w:lineRule="exact"/>
              <w:rPr>
                <w:rFonts w:hAnsi="宋体" w:cs="Courier New"/>
                <w:kern w:val="2"/>
                <w:sz w:val="21"/>
              </w:rPr>
            </w:pPr>
          </w:p>
        </w:tc>
        <w:tc>
          <w:tcPr>
            <w:tcW w:w="1834" w:type="dxa"/>
          </w:tcPr>
          <w:p w14:paraId="362BDBF3">
            <w:pPr>
              <w:pStyle w:val="15"/>
              <w:spacing w:line="600" w:lineRule="exact"/>
              <w:rPr>
                <w:rFonts w:hAnsi="宋体" w:cs="Courier New"/>
                <w:kern w:val="2"/>
                <w:sz w:val="21"/>
              </w:rPr>
            </w:pPr>
          </w:p>
        </w:tc>
        <w:tc>
          <w:tcPr>
            <w:tcW w:w="2181" w:type="dxa"/>
          </w:tcPr>
          <w:p w14:paraId="438CB431">
            <w:pPr>
              <w:pStyle w:val="15"/>
              <w:spacing w:line="600" w:lineRule="exact"/>
              <w:rPr>
                <w:rFonts w:hAnsi="宋体" w:cs="Courier New"/>
                <w:kern w:val="2"/>
                <w:sz w:val="21"/>
              </w:rPr>
            </w:pPr>
          </w:p>
        </w:tc>
        <w:tc>
          <w:tcPr>
            <w:tcW w:w="1934" w:type="dxa"/>
          </w:tcPr>
          <w:p w14:paraId="76CBEFC5">
            <w:pPr>
              <w:pStyle w:val="15"/>
              <w:spacing w:line="600" w:lineRule="exact"/>
              <w:rPr>
                <w:rFonts w:hAnsi="宋体" w:cs="Courier New"/>
                <w:kern w:val="2"/>
                <w:sz w:val="21"/>
              </w:rPr>
            </w:pPr>
          </w:p>
        </w:tc>
      </w:tr>
      <w:tr w14:paraId="02FF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52123CA">
            <w:pPr>
              <w:pStyle w:val="15"/>
              <w:spacing w:line="600" w:lineRule="exact"/>
              <w:rPr>
                <w:rFonts w:hAnsi="宋体" w:cs="Courier New"/>
                <w:kern w:val="2"/>
                <w:sz w:val="21"/>
              </w:rPr>
            </w:pPr>
          </w:p>
        </w:tc>
        <w:tc>
          <w:tcPr>
            <w:tcW w:w="2143" w:type="dxa"/>
          </w:tcPr>
          <w:p w14:paraId="65554767">
            <w:pPr>
              <w:pStyle w:val="15"/>
              <w:spacing w:line="600" w:lineRule="exact"/>
              <w:rPr>
                <w:rFonts w:hAnsi="宋体" w:cs="Courier New"/>
                <w:kern w:val="2"/>
                <w:sz w:val="21"/>
              </w:rPr>
            </w:pPr>
          </w:p>
        </w:tc>
        <w:tc>
          <w:tcPr>
            <w:tcW w:w="1834" w:type="dxa"/>
          </w:tcPr>
          <w:p w14:paraId="749E7D97">
            <w:pPr>
              <w:pStyle w:val="15"/>
              <w:spacing w:line="600" w:lineRule="exact"/>
              <w:rPr>
                <w:rFonts w:hAnsi="宋体" w:cs="Courier New"/>
                <w:kern w:val="2"/>
                <w:sz w:val="21"/>
              </w:rPr>
            </w:pPr>
          </w:p>
        </w:tc>
        <w:tc>
          <w:tcPr>
            <w:tcW w:w="2181" w:type="dxa"/>
          </w:tcPr>
          <w:p w14:paraId="1CEE785E">
            <w:pPr>
              <w:pStyle w:val="15"/>
              <w:spacing w:line="600" w:lineRule="exact"/>
              <w:rPr>
                <w:rFonts w:hAnsi="宋体" w:cs="Courier New"/>
                <w:kern w:val="2"/>
                <w:sz w:val="21"/>
              </w:rPr>
            </w:pPr>
          </w:p>
        </w:tc>
        <w:tc>
          <w:tcPr>
            <w:tcW w:w="1934" w:type="dxa"/>
          </w:tcPr>
          <w:p w14:paraId="5BCFCE9D">
            <w:pPr>
              <w:pStyle w:val="15"/>
              <w:spacing w:line="600" w:lineRule="exact"/>
              <w:rPr>
                <w:rFonts w:hAnsi="宋体" w:cs="Courier New"/>
                <w:kern w:val="2"/>
                <w:sz w:val="21"/>
              </w:rPr>
            </w:pPr>
          </w:p>
        </w:tc>
      </w:tr>
      <w:tr w14:paraId="79A14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37CDFD4">
            <w:pPr>
              <w:pStyle w:val="15"/>
              <w:spacing w:line="600" w:lineRule="exact"/>
              <w:rPr>
                <w:rFonts w:hAnsi="宋体" w:cs="Courier New"/>
                <w:kern w:val="2"/>
                <w:sz w:val="21"/>
              </w:rPr>
            </w:pPr>
          </w:p>
        </w:tc>
        <w:tc>
          <w:tcPr>
            <w:tcW w:w="2143" w:type="dxa"/>
          </w:tcPr>
          <w:p w14:paraId="59094614">
            <w:pPr>
              <w:pStyle w:val="15"/>
              <w:spacing w:line="600" w:lineRule="exact"/>
              <w:rPr>
                <w:rFonts w:hAnsi="宋体" w:cs="Courier New"/>
                <w:kern w:val="2"/>
                <w:sz w:val="21"/>
              </w:rPr>
            </w:pPr>
          </w:p>
        </w:tc>
        <w:tc>
          <w:tcPr>
            <w:tcW w:w="1834" w:type="dxa"/>
          </w:tcPr>
          <w:p w14:paraId="276C0162">
            <w:pPr>
              <w:pStyle w:val="15"/>
              <w:spacing w:line="600" w:lineRule="exact"/>
              <w:rPr>
                <w:rFonts w:hAnsi="宋体" w:cs="Courier New"/>
                <w:kern w:val="2"/>
                <w:sz w:val="21"/>
              </w:rPr>
            </w:pPr>
          </w:p>
        </w:tc>
        <w:tc>
          <w:tcPr>
            <w:tcW w:w="2181" w:type="dxa"/>
          </w:tcPr>
          <w:p w14:paraId="5EC1613A">
            <w:pPr>
              <w:pStyle w:val="15"/>
              <w:spacing w:line="600" w:lineRule="exact"/>
              <w:rPr>
                <w:rFonts w:hAnsi="宋体" w:cs="Courier New"/>
                <w:kern w:val="2"/>
                <w:sz w:val="21"/>
              </w:rPr>
            </w:pPr>
          </w:p>
        </w:tc>
        <w:tc>
          <w:tcPr>
            <w:tcW w:w="1934" w:type="dxa"/>
          </w:tcPr>
          <w:p w14:paraId="7B1B94F7">
            <w:pPr>
              <w:pStyle w:val="15"/>
              <w:spacing w:line="600" w:lineRule="exact"/>
              <w:rPr>
                <w:rFonts w:hAnsi="宋体" w:cs="Courier New"/>
                <w:kern w:val="2"/>
                <w:sz w:val="21"/>
              </w:rPr>
            </w:pPr>
          </w:p>
        </w:tc>
      </w:tr>
      <w:tr w14:paraId="0C48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64FCC1B">
            <w:pPr>
              <w:pStyle w:val="15"/>
              <w:spacing w:line="600" w:lineRule="exact"/>
              <w:rPr>
                <w:rFonts w:hAnsi="宋体" w:cs="Courier New"/>
                <w:kern w:val="2"/>
                <w:sz w:val="21"/>
              </w:rPr>
            </w:pPr>
          </w:p>
        </w:tc>
        <w:tc>
          <w:tcPr>
            <w:tcW w:w="2143" w:type="dxa"/>
          </w:tcPr>
          <w:p w14:paraId="552FD7E2">
            <w:pPr>
              <w:pStyle w:val="15"/>
              <w:spacing w:line="600" w:lineRule="exact"/>
              <w:rPr>
                <w:rFonts w:hAnsi="宋体" w:cs="Courier New"/>
                <w:kern w:val="2"/>
                <w:sz w:val="21"/>
              </w:rPr>
            </w:pPr>
          </w:p>
        </w:tc>
        <w:tc>
          <w:tcPr>
            <w:tcW w:w="1834" w:type="dxa"/>
          </w:tcPr>
          <w:p w14:paraId="63AAF48B">
            <w:pPr>
              <w:pStyle w:val="15"/>
              <w:spacing w:line="600" w:lineRule="exact"/>
              <w:rPr>
                <w:rFonts w:hAnsi="宋体" w:cs="Courier New"/>
                <w:kern w:val="2"/>
                <w:sz w:val="21"/>
              </w:rPr>
            </w:pPr>
          </w:p>
        </w:tc>
        <w:tc>
          <w:tcPr>
            <w:tcW w:w="2181" w:type="dxa"/>
          </w:tcPr>
          <w:p w14:paraId="56BE86B4">
            <w:pPr>
              <w:pStyle w:val="15"/>
              <w:spacing w:line="600" w:lineRule="exact"/>
              <w:rPr>
                <w:rFonts w:hAnsi="宋体" w:cs="Courier New"/>
                <w:kern w:val="2"/>
                <w:sz w:val="21"/>
              </w:rPr>
            </w:pPr>
          </w:p>
        </w:tc>
        <w:tc>
          <w:tcPr>
            <w:tcW w:w="1934" w:type="dxa"/>
          </w:tcPr>
          <w:p w14:paraId="044DD67B">
            <w:pPr>
              <w:pStyle w:val="15"/>
              <w:spacing w:line="600" w:lineRule="exact"/>
              <w:rPr>
                <w:rFonts w:hAnsi="宋体" w:cs="Courier New"/>
                <w:kern w:val="2"/>
                <w:sz w:val="21"/>
              </w:rPr>
            </w:pPr>
          </w:p>
        </w:tc>
      </w:tr>
    </w:tbl>
    <w:p w14:paraId="4ADF62FD">
      <w:pPr>
        <w:pStyle w:val="11"/>
        <w:rPr>
          <w:rFonts w:ascii="宋体" w:hAnsi="宋体"/>
          <w:sz w:val="21"/>
          <w:szCs w:val="21"/>
        </w:rPr>
      </w:pPr>
      <w:r>
        <w:rPr>
          <w:rFonts w:hint="eastAsia" w:ascii="宋体" w:hAnsi="宋体"/>
          <w:sz w:val="21"/>
          <w:szCs w:val="21"/>
        </w:rPr>
        <w:t>注：</w:t>
      </w:r>
    </w:p>
    <w:p w14:paraId="09C773B7">
      <w:pPr>
        <w:pStyle w:val="14"/>
        <w:spacing w:line="520" w:lineRule="exact"/>
        <w:ind w:firstLine="0" w:firstLineChars="0"/>
        <w:rPr>
          <w:rFonts w:hAnsi="仿宋_GB2312" w:cs="仿宋_GB2312"/>
          <w:sz w:val="24"/>
          <w:szCs w:val="24"/>
        </w:rPr>
      </w:pPr>
      <w:r>
        <w:rPr>
          <w:rFonts w:hint="eastAsia" w:ascii="宋体" w:hAnsi="宋体" w:eastAsia="宋体"/>
          <w:sz w:val="21"/>
          <w:szCs w:val="21"/>
        </w:rPr>
        <w:t>1. 说明：应对照招标文件“第二章 采购需求”中的技术参数及性能（配置）要求逐条实质性响应，并作出偏离说明。</w:t>
      </w:r>
    </w:p>
    <w:p w14:paraId="2FD66F5F">
      <w:pPr>
        <w:pStyle w:val="11"/>
        <w:rPr>
          <w:rFonts w:ascii="宋体" w:hAnsi="宋体"/>
          <w:sz w:val="21"/>
          <w:szCs w:val="21"/>
        </w:rPr>
      </w:pPr>
      <w:r>
        <w:rPr>
          <w:rFonts w:ascii="宋体" w:hAnsi="宋体"/>
          <w:b w:val="0"/>
          <w:bCs w:val="0"/>
          <w:sz w:val="21"/>
          <w:szCs w:val="21"/>
        </w:rPr>
        <w:t>2.</w:t>
      </w:r>
      <w:r>
        <w:rPr>
          <w:rFonts w:hint="eastAsia" w:ascii="宋体" w:hAnsi="宋体"/>
          <w:b w:val="0"/>
          <w:bCs w:val="0"/>
          <w:sz w:val="21"/>
          <w:szCs w:val="21"/>
        </w:rPr>
        <w:t>投标人应根据投标设备的性能指标，对照招标文件要求，在“偏离说明”中注明“</w:t>
      </w:r>
      <w:r>
        <w:rPr>
          <w:rFonts w:hint="eastAsia" w:ascii="宋体" w:hAnsi="宋体"/>
          <w:sz w:val="21"/>
          <w:szCs w:val="21"/>
        </w:rPr>
        <w:t>正偏离</w:t>
      </w:r>
      <w:r>
        <w:rPr>
          <w:rFonts w:hint="eastAsia" w:ascii="宋体" w:hAnsi="宋体"/>
          <w:b w:val="0"/>
          <w:bCs w:val="0"/>
          <w:sz w:val="21"/>
          <w:szCs w:val="21"/>
        </w:rPr>
        <w:t>”、“</w:t>
      </w:r>
      <w:r>
        <w:rPr>
          <w:rFonts w:hint="eastAsia" w:ascii="宋体" w:hAnsi="宋体"/>
          <w:sz w:val="21"/>
          <w:szCs w:val="21"/>
        </w:rPr>
        <w:t>负偏离</w:t>
      </w:r>
      <w:r>
        <w:rPr>
          <w:rFonts w:hint="eastAsia" w:ascii="宋体" w:hAnsi="宋体"/>
          <w:b w:val="0"/>
          <w:bCs w:val="0"/>
          <w:sz w:val="21"/>
          <w:szCs w:val="21"/>
        </w:rPr>
        <w:t>”或者“</w:t>
      </w:r>
      <w:r>
        <w:rPr>
          <w:rFonts w:hint="eastAsia" w:ascii="宋体" w:hAnsi="宋体"/>
          <w:sz w:val="21"/>
          <w:szCs w:val="21"/>
        </w:rPr>
        <w:t>无偏离</w:t>
      </w:r>
      <w:r>
        <w:rPr>
          <w:rFonts w:hint="eastAsia" w:ascii="宋体" w:hAnsi="宋体"/>
          <w:b w:val="0"/>
          <w:bCs w:val="0"/>
          <w:sz w:val="21"/>
          <w:szCs w:val="21"/>
        </w:rPr>
        <w:t>”。既不属于“</w:t>
      </w:r>
      <w:r>
        <w:rPr>
          <w:rFonts w:hint="eastAsia" w:ascii="宋体" w:hAnsi="宋体"/>
          <w:sz w:val="21"/>
          <w:szCs w:val="21"/>
        </w:rPr>
        <w:t>正偏离</w:t>
      </w:r>
      <w:r>
        <w:rPr>
          <w:rFonts w:hint="eastAsia" w:ascii="宋体" w:hAnsi="宋体"/>
          <w:b w:val="0"/>
          <w:bCs w:val="0"/>
          <w:sz w:val="21"/>
          <w:szCs w:val="21"/>
        </w:rPr>
        <w:t>”也不属于“</w:t>
      </w:r>
      <w:r>
        <w:rPr>
          <w:rFonts w:hint="eastAsia" w:ascii="宋体" w:hAnsi="宋体"/>
          <w:sz w:val="21"/>
          <w:szCs w:val="21"/>
        </w:rPr>
        <w:t>负偏离</w:t>
      </w:r>
      <w:r>
        <w:rPr>
          <w:rFonts w:hint="eastAsia" w:ascii="宋体" w:hAnsi="宋体"/>
          <w:b w:val="0"/>
          <w:bCs w:val="0"/>
          <w:sz w:val="21"/>
          <w:szCs w:val="21"/>
        </w:rPr>
        <w:t>”即为“</w:t>
      </w:r>
      <w:r>
        <w:rPr>
          <w:rFonts w:hint="eastAsia" w:ascii="宋体" w:hAnsi="宋体"/>
          <w:sz w:val="21"/>
          <w:szCs w:val="21"/>
        </w:rPr>
        <w:t>无偏离</w:t>
      </w:r>
      <w:r>
        <w:rPr>
          <w:rFonts w:hint="eastAsia" w:ascii="宋体" w:hAnsi="宋体"/>
          <w:b w:val="0"/>
          <w:bCs w:val="0"/>
          <w:sz w:val="21"/>
          <w:szCs w:val="21"/>
        </w:rPr>
        <w:t>”。</w:t>
      </w:r>
    </w:p>
    <w:p w14:paraId="19787FA5">
      <w:pPr>
        <w:pStyle w:val="11"/>
        <w:rPr>
          <w:rFonts w:ascii="宋体" w:hAnsi="宋体"/>
          <w:spacing w:val="20"/>
        </w:rPr>
      </w:pPr>
    </w:p>
    <w:p w14:paraId="1F04F6A0">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09FBB018">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79DED952">
      <w:pPr>
        <w:snapToGrid w:val="0"/>
        <w:spacing w:before="50" w:after="50" w:line="480" w:lineRule="auto"/>
        <w:ind w:left="-6" w:leftChars="-15" w:right="-817" w:rightChars="-389" w:hanging="25" w:hangingChars="12"/>
        <w:jc w:val="left"/>
        <w:rPr>
          <w:rFonts w:ascii="宋体" w:hAnsi="宋体"/>
          <w:b/>
          <w:bCs/>
          <w:szCs w:val="21"/>
        </w:rPr>
      </w:pPr>
      <w:r>
        <w:rPr>
          <w:rFonts w:hint="eastAsia" w:ascii="宋体" w:hAnsi="宋体"/>
          <w:b/>
          <w:bCs/>
          <w:szCs w:val="21"/>
        </w:rPr>
        <w:t>日期：    年   月   日</w:t>
      </w:r>
    </w:p>
    <w:p w14:paraId="762B5F7D">
      <w:pPr>
        <w:snapToGrid w:val="0"/>
        <w:spacing w:beforeLines="50" w:after="50"/>
        <w:jc w:val="left"/>
        <w:rPr>
          <w:rFonts w:ascii="宋体" w:hAnsi="宋体"/>
          <w:b/>
          <w:sz w:val="24"/>
        </w:rPr>
      </w:pPr>
      <w:r>
        <w:rPr>
          <w:rFonts w:hint="eastAsia" w:ascii="宋体" w:hAnsi="宋体"/>
          <w:b/>
          <w:bCs/>
          <w:szCs w:val="21"/>
        </w:rPr>
        <w:br w:type="page"/>
      </w:r>
      <w:r>
        <w:rPr>
          <w:rFonts w:hint="eastAsia" w:ascii="宋体" w:hAnsi="宋体"/>
          <w:b/>
          <w:sz w:val="24"/>
        </w:rPr>
        <w:t>9.类似的业绩证明文件</w:t>
      </w:r>
    </w:p>
    <w:p w14:paraId="35B00471">
      <w:pPr>
        <w:pStyle w:val="20"/>
        <w:snapToGrid w:val="0"/>
        <w:ind w:left="480" w:hanging="480"/>
        <w:rPr>
          <w:rFonts w:ascii="宋体" w:hAnsi="宋体"/>
          <w:sz w:val="24"/>
        </w:rPr>
      </w:pPr>
    </w:p>
    <w:p w14:paraId="0B284707">
      <w:pPr>
        <w:pStyle w:val="20"/>
        <w:snapToGrid w:val="0"/>
        <w:ind w:left="480" w:hanging="480"/>
        <w:rPr>
          <w:rFonts w:ascii="宋体" w:hAnsi="宋体"/>
          <w:sz w:val="24"/>
        </w:rPr>
      </w:pPr>
      <w:r>
        <w:rPr>
          <w:rFonts w:hint="eastAsia" w:ascii="宋体" w:hAnsi="宋体"/>
          <w:sz w:val="24"/>
        </w:rPr>
        <w:t>投标人同类项目情况一览表格式：</w:t>
      </w:r>
    </w:p>
    <w:p w14:paraId="15D58EA8">
      <w:pPr>
        <w:pStyle w:val="20"/>
        <w:snapToGrid w:val="0"/>
        <w:ind w:left="480" w:hanging="480"/>
        <w:rPr>
          <w:rFonts w:ascii="宋体" w:hAnsi="宋体"/>
          <w:sz w:val="24"/>
        </w:rPr>
      </w:pPr>
    </w:p>
    <w:p w14:paraId="7933AFFB">
      <w:pPr>
        <w:pStyle w:val="20"/>
        <w:snapToGrid w:val="0"/>
        <w:ind w:left="482" w:hanging="482"/>
        <w:jc w:val="center"/>
        <w:rPr>
          <w:rFonts w:ascii="宋体" w:hAnsi="宋体"/>
          <w:sz w:val="24"/>
        </w:rPr>
      </w:pPr>
      <w:r>
        <w:rPr>
          <w:rFonts w:hint="eastAsia" w:ascii="宋体" w:hAnsi="宋体"/>
          <w:b/>
          <w:sz w:val="24"/>
        </w:rPr>
        <w:t>投标人业绩情况一览表</w:t>
      </w:r>
    </w:p>
    <w:tbl>
      <w:tblPr>
        <w:tblStyle w:val="25"/>
        <w:tblW w:w="91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94"/>
        <w:gridCol w:w="1905"/>
        <w:gridCol w:w="1905"/>
        <w:gridCol w:w="3074"/>
      </w:tblGrid>
      <w:tr w14:paraId="1CF55E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8" w:hRule="atLeast"/>
        </w:trPr>
        <w:tc>
          <w:tcPr>
            <w:tcW w:w="2294" w:type="dxa"/>
            <w:vMerge w:val="restart"/>
            <w:tcBorders>
              <w:top w:val="single" w:color="auto" w:sz="4" w:space="0"/>
              <w:left w:val="single" w:color="auto" w:sz="4" w:space="0"/>
              <w:bottom w:val="single" w:color="auto" w:sz="4" w:space="0"/>
              <w:right w:val="single" w:color="auto" w:sz="4" w:space="0"/>
            </w:tcBorders>
            <w:vAlign w:val="center"/>
          </w:tcPr>
          <w:p w14:paraId="2B340C4C">
            <w:pPr>
              <w:pStyle w:val="15"/>
              <w:spacing w:line="400" w:lineRule="exact"/>
              <w:contextualSpacing/>
              <w:jc w:val="center"/>
              <w:rPr>
                <w:rFonts w:hAnsi="宋体" w:cs="Courier New"/>
                <w:b/>
                <w:bCs/>
                <w:kern w:val="2"/>
                <w:sz w:val="21"/>
              </w:rPr>
            </w:pPr>
            <w:r>
              <w:rPr>
                <w:rFonts w:hint="eastAsia" w:hAnsi="宋体" w:cs="Courier New"/>
                <w:b/>
                <w:bCs/>
                <w:kern w:val="2"/>
                <w:sz w:val="21"/>
              </w:rPr>
              <w:t>采购人名称</w:t>
            </w:r>
          </w:p>
        </w:tc>
        <w:tc>
          <w:tcPr>
            <w:tcW w:w="1905" w:type="dxa"/>
            <w:vMerge w:val="restart"/>
            <w:tcBorders>
              <w:top w:val="single" w:color="auto" w:sz="4" w:space="0"/>
              <w:left w:val="single" w:color="auto" w:sz="4" w:space="0"/>
              <w:bottom w:val="single" w:color="auto" w:sz="4" w:space="0"/>
              <w:right w:val="single" w:color="auto" w:sz="4" w:space="0"/>
            </w:tcBorders>
            <w:vAlign w:val="center"/>
          </w:tcPr>
          <w:p w14:paraId="5A6B93FF">
            <w:pPr>
              <w:pStyle w:val="15"/>
              <w:spacing w:line="400" w:lineRule="exact"/>
              <w:contextualSpacing/>
              <w:jc w:val="center"/>
              <w:rPr>
                <w:rFonts w:hAnsi="宋体" w:cs="Courier New"/>
                <w:b/>
                <w:bCs/>
                <w:kern w:val="2"/>
                <w:sz w:val="21"/>
              </w:rPr>
            </w:pPr>
            <w:r>
              <w:rPr>
                <w:rFonts w:hint="eastAsia" w:hAnsi="宋体" w:cs="Courier New"/>
                <w:b/>
                <w:bCs/>
                <w:kern w:val="2"/>
                <w:sz w:val="21"/>
              </w:rPr>
              <w:t>项目名称</w:t>
            </w:r>
          </w:p>
        </w:tc>
        <w:tc>
          <w:tcPr>
            <w:tcW w:w="1905" w:type="dxa"/>
            <w:vMerge w:val="restart"/>
            <w:tcBorders>
              <w:top w:val="single" w:color="auto" w:sz="4" w:space="0"/>
              <w:left w:val="single" w:color="auto" w:sz="4" w:space="0"/>
              <w:bottom w:val="single" w:color="auto" w:sz="4" w:space="0"/>
              <w:right w:val="single" w:color="auto" w:sz="4" w:space="0"/>
            </w:tcBorders>
            <w:vAlign w:val="center"/>
          </w:tcPr>
          <w:p w14:paraId="30047627">
            <w:pPr>
              <w:pStyle w:val="15"/>
              <w:spacing w:line="400" w:lineRule="exact"/>
              <w:contextualSpacing/>
              <w:jc w:val="center"/>
              <w:rPr>
                <w:rFonts w:hAnsi="宋体" w:cs="Courier New"/>
                <w:b/>
                <w:bCs/>
                <w:kern w:val="2"/>
                <w:sz w:val="21"/>
              </w:rPr>
            </w:pPr>
            <w:r>
              <w:rPr>
                <w:rFonts w:hint="eastAsia" w:hAnsi="宋体" w:cs="Courier New"/>
                <w:b/>
                <w:bCs/>
                <w:kern w:val="2"/>
                <w:sz w:val="21"/>
              </w:rPr>
              <w:t>合同金额</w:t>
            </w:r>
          </w:p>
          <w:p w14:paraId="272098AE">
            <w:pPr>
              <w:pStyle w:val="15"/>
              <w:spacing w:line="400" w:lineRule="exact"/>
              <w:contextualSpacing/>
              <w:jc w:val="center"/>
              <w:rPr>
                <w:rFonts w:hAnsi="宋体" w:cs="Courier New"/>
                <w:b/>
                <w:bCs/>
                <w:kern w:val="2"/>
                <w:sz w:val="21"/>
              </w:rPr>
            </w:pPr>
            <w:r>
              <w:rPr>
                <w:rFonts w:hint="eastAsia" w:hAnsi="宋体" w:cs="Courier New"/>
                <w:b/>
                <w:bCs/>
                <w:kern w:val="2"/>
                <w:sz w:val="21"/>
              </w:rPr>
              <w:t>（万元）</w:t>
            </w:r>
          </w:p>
        </w:tc>
        <w:tc>
          <w:tcPr>
            <w:tcW w:w="3074" w:type="dxa"/>
            <w:vMerge w:val="restart"/>
            <w:tcBorders>
              <w:top w:val="single" w:color="auto" w:sz="4" w:space="0"/>
              <w:left w:val="single" w:color="auto" w:sz="4" w:space="0"/>
              <w:bottom w:val="single" w:color="auto" w:sz="4" w:space="0"/>
              <w:right w:val="single" w:color="auto" w:sz="4" w:space="0"/>
            </w:tcBorders>
            <w:vAlign w:val="center"/>
          </w:tcPr>
          <w:p w14:paraId="43F65866">
            <w:pPr>
              <w:pStyle w:val="15"/>
              <w:spacing w:line="400" w:lineRule="exact"/>
              <w:contextualSpacing/>
              <w:jc w:val="center"/>
              <w:rPr>
                <w:rFonts w:hAnsi="宋体" w:cs="Courier New"/>
                <w:b/>
                <w:bCs/>
                <w:kern w:val="2"/>
                <w:sz w:val="21"/>
              </w:rPr>
            </w:pPr>
            <w:r>
              <w:rPr>
                <w:rFonts w:hint="eastAsia" w:hAnsi="宋体" w:cs="Courier New"/>
                <w:b/>
                <w:bCs/>
                <w:kern w:val="2"/>
                <w:sz w:val="21"/>
              </w:rPr>
              <w:t>采购人联系人及</w:t>
            </w:r>
          </w:p>
          <w:p w14:paraId="7DF0732C">
            <w:pPr>
              <w:pStyle w:val="15"/>
              <w:spacing w:line="400" w:lineRule="exact"/>
              <w:contextualSpacing/>
              <w:jc w:val="center"/>
              <w:rPr>
                <w:rFonts w:hAnsi="宋体" w:cs="Courier New"/>
                <w:b/>
                <w:bCs/>
                <w:kern w:val="2"/>
                <w:sz w:val="21"/>
              </w:rPr>
            </w:pPr>
            <w:r>
              <w:rPr>
                <w:rFonts w:hint="eastAsia" w:hAnsi="宋体" w:cs="Courier New"/>
                <w:b/>
                <w:bCs/>
                <w:kern w:val="2"/>
                <w:sz w:val="21"/>
              </w:rPr>
              <w:t>联系电话</w:t>
            </w:r>
          </w:p>
        </w:tc>
      </w:tr>
      <w:tr w14:paraId="2EDC1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3" w:hRule="atLeast"/>
        </w:trPr>
        <w:tc>
          <w:tcPr>
            <w:tcW w:w="2294" w:type="dxa"/>
            <w:vMerge w:val="continue"/>
            <w:tcBorders>
              <w:top w:val="single" w:color="auto" w:sz="4" w:space="0"/>
              <w:left w:val="single" w:color="auto" w:sz="4" w:space="0"/>
              <w:bottom w:val="single" w:color="auto" w:sz="4" w:space="0"/>
              <w:right w:val="single" w:color="auto" w:sz="4" w:space="0"/>
            </w:tcBorders>
            <w:vAlign w:val="center"/>
          </w:tcPr>
          <w:p w14:paraId="295023DA">
            <w:pPr>
              <w:jc w:val="left"/>
              <w:rPr>
                <w:rFonts w:ascii="宋体" w:hAnsi="宋体"/>
                <w:sz w:val="24"/>
              </w:rPr>
            </w:pPr>
          </w:p>
        </w:tc>
        <w:tc>
          <w:tcPr>
            <w:tcW w:w="1905" w:type="dxa"/>
            <w:vMerge w:val="continue"/>
            <w:tcBorders>
              <w:top w:val="single" w:color="auto" w:sz="4" w:space="0"/>
              <w:left w:val="single" w:color="auto" w:sz="4" w:space="0"/>
              <w:bottom w:val="single" w:color="auto" w:sz="4" w:space="0"/>
              <w:right w:val="single" w:color="auto" w:sz="4" w:space="0"/>
            </w:tcBorders>
            <w:vAlign w:val="center"/>
          </w:tcPr>
          <w:p w14:paraId="5D763D87">
            <w:pPr>
              <w:jc w:val="left"/>
              <w:rPr>
                <w:rFonts w:ascii="宋体" w:hAnsi="宋体"/>
                <w:sz w:val="24"/>
              </w:rPr>
            </w:pPr>
          </w:p>
        </w:tc>
        <w:tc>
          <w:tcPr>
            <w:tcW w:w="1905" w:type="dxa"/>
            <w:vMerge w:val="continue"/>
            <w:tcBorders>
              <w:top w:val="single" w:color="auto" w:sz="4" w:space="0"/>
              <w:left w:val="single" w:color="auto" w:sz="4" w:space="0"/>
              <w:bottom w:val="single" w:color="auto" w:sz="4" w:space="0"/>
              <w:right w:val="single" w:color="auto" w:sz="4" w:space="0"/>
            </w:tcBorders>
            <w:vAlign w:val="center"/>
          </w:tcPr>
          <w:p w14:paraId="788BC160">
            <w:pPr>
              <w:jc w:val="left"/>
              <w:rPr>
                <w:rFonts w:ascii="宋体" w:hAnsi="宋体"/>
                <w:sz w:val="24"/>
              </w:rPr>
            </w:pPr>
          </w:p>
        </w:tc>
        <w:tc>
          <w:tcPr>
            <w:tcW w:w="3074" w:type="dxa"/>
            <w:vMerge w:val="continue"/>
            <w:tcBorders>
              <w:top w:val="single" w:color="auto" w:sz="4" w:space="0"/>
              <w:left w:val="single" w:color="auto" w:sz="4" w:space="0"/>
              <w:bottom w:val="single" w:color="auto" w:sz="4" w:space="0"/>
              <w:right w:val="single" w:color="auto" w:sz="4" w:space="0"/>
            </w:tcBorders>
            <w:vAlign w:val="center"/>
          </w:tcPr>
          <w:p w14:paraId="401F4885">
            <w:pPr>
              <w:jc w:val="left"/>
              <w:rPr>
                <w:rFonts w:ascii="宋体" w:hAnsi="宋体"/>
                <w:sz w:val="24"/>
              </w:rPr>
            </w:pPr>
          </w:p>
        </w:tc>
      </w:tr>
      <w:tr w14:paraId="1EE8E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2294" w:type="dxa"/>
            <w:tcBorders>
              <w:top w:val="single" w:color="auto" w:sz="4" w:space="0"/>
              <w:left w:val="single" w:color="auto" w:sz="4" w:space="0"/>
              <w:bottom w:val="single" w:color="auto" w:sz="4" w:space="0"/>
              <w:right w:val="single" w:color="auto" w:sz="4" w:space="0"/>
            </w:tcBorders>
          </w:tcPr>
          <w:p w14:paraId="5167B854">
            <w:pPr>
              <w:snapToGrid w:val="0"/>
              <w:spacing w:line="24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55BEBBD7">
            <w:pPr>
              <w:snapToGrid w:val="0"/>
              <w:spacing w:line="24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27E6776F">
            <w:pPr>
              <w:snapToGrid w:val="0"/>
              <w:spacing w:line="240" w:lineRule="exact"/>
              <w:jc w:val="left"/>
              <w:rPr>
                <w:rFonts w:ascii="宋体" w:hAnsi="宋体"/>
                <w:sz w:val="24"/>
              </w:rPr>
            </w:pPr>
          </w:p>
        </w:tc>
        <w:tc>
          <w:tcPr>
            <w:tcW w:w="3074" w:type="dxa"/>
            <w:tcBorders>
              <w:top w:val="single" w:color="auto" w:sz="4" w:space="0"/>
              <w:left w:val="single" w:color="auto" w:sz="4" w:space="0"/>
              <w:bottom w:val="single" w:color="auto" w:sz="4" w:space="0"/>
              <w:right w:val="single" w:color="auto" w:sz="4" w:space="0"/>
            </w:tcBorders>
          </w:tcPr>
          <w:p w14:paraId="2B9FD679">
            <w:pPr>
              <w:snapToGrid w:val="0"/>
              <w:spacing w:line="240" w:lineRule="exact"/>
              <w:jc w:val="left"/>
              <w:rPr>
                <w:rFonts w:ascii="宋体" w:hAnsi="宋体"/>
                <w:sz w:val="24"/>
              </w:rPr>
            </w:pPr>
          </w:p>
        </w:tc>
      </w:tr>
      <w:tr w14:paraId="7EC5DD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2294" w:type="dxa"/>
            <w:tcBorders>
              <w:top w:val="single" w:color="auto" w:sz="4" w:space="0"/>
              <w:left w:val="single" w:color="auto" w:sz="4" w:space="0"/>
              <w:bottom w:val="single" w:color="auto" w:sz="4" w:space="0"/>
              <w:right w:val="single" w:color="auto" w:sz="4" w:space="0"/>
            </w:tcBorders>
          </w:tcPr>
          <w:p w14:paraId="5721A874">
            <w:pPr>
              <w:snapToGrid w:val="0"/>
              <w:spacing w:before="50" w:afterLines="50" w:line="40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2C173E96">
            <w:pPr>
              <w:snapToGrid w:val="0"/>
              <w:spacing w:before="50" w:afterLines="50" w:line="40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4153B7AB">
            <w:pPr>
              <w:snapToGrid w:val="0"/>
              <w:spacing w:before="50" w:afterLines="50" w:line="400" w:lineRule="exact"/>
              <w:jc w:val="left"/>
              <w:rPr>
                <w:rFonts w:ascii="宋体" w:hAnsi="宋体"/>
                <w:sz w:val="24"/>
              </w:rPr>
            </w:pPr>
          </w:p>
        </w:tc>
        <w:tc>
          <w:tcPr>
            <w:tcW w:w="3074" w:type="dxa"/>
            <w:tcBorders>
              <w:top w:val="single" w:color="auto" w:sz="4" w:space="0"/>
              <w:left w:val="single" w:color="auto" w:sz="4" w:space="0"/>
              <w:bottom w:val="single" w:color="auto" w:sz="4" w:space="0"/>
              <w:right w:val="single" w:color="auto" w:sz="4" w:space="0"/>
            </w:tcBorders>
          </w:tcPr>
          <w:p w14:paraId="4DDB6FF6">
            <w:pPr>
              <w:snapToGrid w:val="0"/>
              <w:spacing w:before="50" w:afterLines="50" w:line="400" w:lineRule="exact"/>
              <w:jc w:val="left"/>
              <w:rPr>
                <w:rFonts w:ascii="宋体" w:hAnsi="宋体"/>
                <w:sz w:val="24"/>
              </w:rPr>
            </w:pPr>
          </w:p>
        </w:tc>
      </w:tr>
      <w:tr w14:paraId="63666D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294" w:type="dxa"/>
            <w:tcBorders>
              <w:top w:val="single" w:color="auto" w:sz="4" w:space="0"/>
              <w:left w:val="single" w:color="auto" w:sz="4" w:space="0"/>
              <w:bottom w:val="single" w:color="auto" w:sz="4" w:space="0"/>
              <w:right w:val="single" w:color="auto" w:sz="4" w:space="0"/>
            </w:tcBorders>
          </w:tcPr>
          <w:p w14:paraId="0EEB9C8D">
            <w:pPr>
              <w:snapToGrid w:val="0"/>
              <w:spacing w:before="50" w:afterLines="50" w:line="40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162A8CCA">
            <w:pPr>
              <w:snapToGrid w:val="0"/>
              <w:spacing w:before="50" w:afterLines="50" w:line="40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6A98F0B1">
            <w:pPr>
              <w:snapToGrid w:val="0"/>
              <w:spacing w:before="50" w:afterLines="50" w:line="400" w:lineRule="exact"/>
              <w:jc w:val="left"/>
              <w:rPr>
                <w:rFonts w:ascii="宋体" w:hAnsi="宋体"/>
                <w:sz w:val="24"/>
              </w:rPr>
            </w:pPr>
          </w:p>
        </w:tc>
        <w:tc>
          <w:tcPr>
            <w:tcW w:w="3074" w:type="dxa"/>
            <w:tcBorders>
              <w:top w:val="single" w:color="auto" w:sz="4" w:space="0"/>
              <w:left w:val="single" w:color="auto" w:sz="4" w:space="0"/>
              <w:bottom w:val="single" w:color="auto" w:sz="4" w:space="0"/>
              <w:right w:val="single" w:color="auto" w:sz="4" w:space="0"/>
            </w:tcBorders>
          </w:tcPr>
          <w:p w14:paraId="55F5F116">
            <w:pPr>
              <w:snapToGrid w:val="0"/>
              <w:spacing w:before="50" w:afterLines="50" w:line="400" w:lineRule="exact"/>
              <w:jc w:val="left"/>
              <w:rPr>
                <w:rFonts w:ascii="宋体" w:hAnsi="宋体"/>
                <w:sz w:val="24"/>
              </w:rPr>
            </w:pPr>
          </w:p>
        </w:tc>
      </w:tr>
      <w:tr w14:paraId="74402F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2294" w:type="dxa"/>
            <w:tcBorders>
              <w:top w:val="single" w:color="auto" w:sz="4" w:space="0"/>
              <w:left w:val="single" w:color="auto" w:sz="4" w:space="0"/>
              <w:bottom w:val="single" w:color="auto" w:sz="4" w:space="0"/>
              <w:right w:val="single" w:color="auto" w:sz="4" w:space="0"/>
            </w:tcBorders>
          </w:tcPr>
          <w:p w14:paraId="6751B727">
            <w:pPr>
              <w:snapToGrid w:val="0"/>
              <w:spacing w:before="50" w:afterLines="50" w:line="40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50C22219">
            <w:pPr>
              <w:snapToGrid w:val="0"/>
              <w:spacing w:before="50" w:afterLines="50" w:line="40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15E65196">
            <w:pPr>
              <w:snapToGrid w:val="0"/>
              <w:spacing w:before="50" w:afterLines="50" w:line="400" w:lineRule="exact"/>
              <w:jc w:val="left"/>
              <w:rPr>
                <w:rFonts w:ascii="宋体" w:hAnsi="宋体"/>
                <w:sz w:val="24"/>
              </w:rPr>
            </w:pPr>
          </w:p>
        </w:tc>
        <w:tc>
          <w:tcPr>
            <w:tcW w:w="3074" w:type="dxa"/>
            <w:tcBorders>
              <w:top w:val="single" w:color="auto" w:sz="4" w:space="0"/>
              <w:left w:val="single" w:color="auto" w:sz="4" w:space="0"/>
              <w:bottom w:val="single" w:color="auto" w:sz="4" w:space="0"/>
              <w:right w:val="single" w:color="auto" w:sz="4" w:space="0"/>
            </w:tcBorders>
          </w:tcPr>
          <w:p w14:paraId="379F3081">
            <w:pPr>
              <w:snapToGrid w:val="0"/>
              <w:spacing w:before="50" w:afterLines="50" w:line="400" w:lineRule="exact"/>
              <w:jc w:val="left"/>
              <w:rPr>
                <w:rFonts w:ascii="宋体" w:hAnsi="宋体"/>
                <w:sz w:val="24"/>
              </w:rPr>
            </w:pPr>
          </w:p>
        </w:tc>
      </w:tr>
      <w:tr w14:paraId="6E91B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2294" w:type="dxa"/>
            <w:tcBorders>
              <w:top w:val="single" w:color="auto" w:sz="4" w:space="0"/>
              <w:left w:val="single" w:color="auto" w:sz="4" w:space="0"/>
              <w:bottom w:val="single" w:color="auto" w:sz="4" w:space="0"/>
              <w:right w:val="single" w:color="auto" w:sz="4" w:space="0"/>
            </w:tcBorders>
          </w:tcPr>
          <w:p w14:paraId="6D79F0BB">
            <w:pPr>
              <w:snapToGrid w:val="0"/>
              <w:spacing w:before="50" w:afterLines="50" w:line="40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1F6E8555">
            <w:pPr>
              <w:snapToGrid w:val="0"/>
              <w:spacing w:before="50" w:afterLines="50" w:line="400" w:lineRule="exact"/>
              <w:jc w:val="left"/>
              <w:rPr>
                <w:rFonts w:ascii="宋体" w:hAnsi="宋体"/>
                <w:sz w:val="24"/>
              </w:rPr>
            </w:pPr>
          </w:p>
        </w:tc>
        <w:tc>
          <w:tcPr>
            <w:tcW w:w="1905" w:type="dxa"/>
            <w:tcBorders>
              <w:top w:val="single" w:color="auto" w:sz="4" w:space="0"/>
              <w:left w:val="single" w:color="auto" w:sz="4" w:space="0"/>
              <w:bottom w:val="single" w:color="auto" w:sz="4" w:space="0"/>
              <w:right w:val="single" w:color="auto" w:sz="4" w:space="0"/>
            </w:tcBorders>
          </w:tcPr>
          <w:p w14:paraId="4C66129C">
            <w:pPr>
              <w:snapToGrid w:val="0"/>
              <w:spacing w:before="50" w:afterLines="50" w:line="400" w:lineRule="exact"/>
              <w:jc w:val="left"/>
              <w:rPr>
                <w:rFonts w:ascii="宋体" w:hAnsi="宋体"/>
                <w:sz w:val="24"/>
              </w:rPr>
            </w:pPr>
          </w:p>
        </w:tc>
        <w:tc>
          <w:tcPr>
            <w:tcW w:w="3074" w:type="dxa"/>
            <w:tcBorders>
              <w:top w:val="single" w:color="auto" w:sz="4" w:space="0"/>
              <w:left w:val="single" w:color="auto" w:sz="4" w:space="0"/>
              <w:bottom w:val="single" w:color="auto" w:sz="4" w:space="0"/>
              <w:right w:val="single" w:color="auto" w:sz="4" w:space="0"/>
            </w:tcBorders>
          </w:tcPr>
          <w:p w14:paraId="73AB0179">
            <w:pPr>
              <w:snapToGrid w:val="0"/>
              <w:spacing w:before="50" w:afterLines="50" w:line="400" w:lineRule="exact"/>
              <w:jc w:val="left"/>
              <w:rPr>
                <w:rFonts w:ascii="宋体" w:hAnsi="宋体"/>
                <w:sz w:val="24"/>
              </w:rPr>
            </w:pPr>
          </w:p>
        </w:tc>
      </w:tr>
    </w:tbl>
    <w:p w14:paraId="56DB22F7">
      <w:pPr>
        <w:pStyle w:val="9"/>
        <w:snapToGrid w:val="0"/>
        <w:rPr>
          <w:rFonts w:ascii="宋体" w:hAnsi="宋体" w:eastAsia="宋体"/>
          <w:sz w:val="24"/>
          <w:szCs w:val="24"/>
        </w:rPr>
      </w:pPr>
    </w:p>
    <w:p w14:paraId="7428E55E">
      <w:pPr>
        <w:snapToGrid w:val="0"/>
        <w:spacing w:before="50" w:after="50" w:line="480" w:lineRule="auto"/>
        <w:ind w:left="-3" w:leftChars="-15" w:right="-817" w:rightChars="-389" w:hanging="28" w:hangingChars="12"/>
        <w:jc w:val="left"/>
        <w:rPr>
          <w:rFonts w:ascii="宋体" w:hAnsi="宋体"/>
          <w:sz w:val="24"/>
        </w:rPr>
      </w:pPr>
      <w:r>
        <w:rPr>
          <w:rFonts w:hint="eastAsia" w:ascii="宋体" w:hAnsi="宋体"/>
          <w:sz w:val="24"/>
        </w:rPr>
        <w:t>注：投标人根据评标标准具体要求附业绩证明材料</w:t>
      </w:r>
    </w:p>
    <w:p w14:paraId="6CAC031E">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6B1E0D90">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3414A446">
      <w:pPr>
        <w:snapToGrid w:val="0"/>
        <w:spacing w:before="50" w:after="50" w:line="480" w:lineRule="auto"/>
        <w:ind w:left="-6" w:leftChars="-15" w:right="-817" w:rightChars="-389" w:hanging="25" w:hangingChars="12"/>
        <w:jc w:val="left"/>
        <w:rPr>
          <w:rFonts w:ascii="宋体" w:hAnsi="宋体"/>
          <w:b/>
          <w:bCs/>
          <w:szCs w:val="21"/>
        </w:rPr>
      </w:pPr>
      <w:r>
        <w:rPr>
          <w:rFonts w:hint="eastAsia" w:ascii="宋体" w:hAnsi="宋体"/>
          <w:b/>
          <w:bCs/>
          <w:szCs w:val="21"/>
        </w:rPr>
        <w:t>日期：    年   月   日</w:t>
      </w:r>
    </w:p>
    <w:p w14:paraId="5F8696C0">
      <w:pPr>
        <w:snapToGrid w:val="0"/>
        <w:spacing w:before="50" w:after="50" w:line="480" w:lineRule="auto"/>
        <w:ind w:left="-6" w:leftChars="-15" w:right="-817" w:rightChars="-389" w:hanging="25" w:hangingChars="12"/>
        <w:jc w:val="left"/>
        <w:rPr>
          <w:rFonts w:ascii="宋体" w:hAnsi="宋体"/>
          <w:b/>
          <w:bCs/>
          <w:szCs w:val="21"/>
        </w:rPr>
      </w:pPr>
    </w:p>
    <w:p w14:paraId="1A6A923D">
      <w:pPr>
        <w:snapToGrid w:val="0"/>
        <w:spacing w:before="50" w:after="50" w:line="480" w:lineRule="auto"/>
        <w:ind w:left="-6" w:leftChars="-15" w:right="-817" w:rightChars="-389" w:hanging="25" w:hangingChars="12"/>
        <w:jc w:val="left"/>
        <w:rPr>
          <w:rFonts w:ascii="宋体" w:hAnsi="宋体"/>
          <w:b/>
          <w:bCs/>
          <w:szCs w:val="21"/>
        </w:rPr>
      </w:pPr>
      <w:r>
        <w:rPr>
          <w:rFonts w:hint="eastAsia" w:ascii="宋体" w:hAnsi="宋体"/>
          <w:b/>
          <w:bCs/>
          <w:szCs w:val="21"/>
        </w:rPr>
        <w:br w:type="page"/>
      </w:r>
      <w:r>
        <w:rPr>
          <w:rFonts w:hint="eastAsia" w:ascii="宋体" w:hAnsi="宋体"/>
          <w:b/>
          <w:sz w:val="24"/>
        </w:rPr>
        <w:t>10.项目实施人员一览表</w:t>
      </w:r>
    </w:p>
    <w:p w14:paraId="277C4A7E">
      <w:pPr>
        <w:pStyle w:val="20"/>
        <w:snapToGrid w:val="0"/>
        <w:ind w:left="0" w:firstLine="0" w:firstLineChars="0"/>
        <w:jc w:val="center"/>
        <w:rPr>
          <w:rFonts w:ascii="仿宋" w:hAnsi="仿宋" w:eastAsia="仿宋" w:cs="仿宋"/>
          <w:bCs/>
          <w:sz w:val="44"/>
          <w:szCs w:val="44"/>
        </w:rPr>
      </w:pPr>
      <w:r>
        <w:rPr>
          <w:rFonts w:hint="eastAsia" w:ascii="宋体" w:hAnsi="宋体"/>
          <w:b/>
          <w:sz w:val="24"/>
        </w:rPr>
        <w:t>项目实施人员一览表</w:t>
      </w:r>
    </w:p>
    <w:p w14:paraId="7409EA13">
      <w:pPr>
        <w:pStyle w:val="15"/>
        <w:rPr>
          <w:sz w:val="24"/>
          <w:szCs w:val="24"/>
        </w:rPr>
      </w:pPr>
    </w:p>
    <w:p w14:paraId="7BAF9A5E">
      <w:pPr>
        <w:pStyle w:val="15"/>
        <w:rPr>
          <w:sz w:val="24"/>
          <w:szCs w:val="24"/>
        </w:rPr>
      </w:pPr>
      <w:r>
        <w:rPr>
          <w:rFonts w:hint="eastAsia"/>
          <w:sz w:val="24"/>
          <w:szCs w:val="24"/>
        </w:rPr>
        <w:t>所投分标：</w:t>
      </w:r>
      <w:r>
        <w:rPr>
          <w:rFonts w:hint="eastAsia"/>
          <w:sz w:val="24"/>
          <w:szCs w:val="24"/>
          <w:u w:val="single"/>
        </w:rPr>
        <w:t>标项</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784"/>
        <w:gridCol w:w="1882"/>
        <w:gridCol w:w="1571"/>
        <w:gridCol w:w="1878"/>
        <w:gridCol w:w="2039"/>
      </w:tblGrid>
      <w:tr w14:paraId="56BA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904" w:type="dxa"/>
            <w:vAlign w:val="center"/>
          </w:tcPr>
          <w:p w14:paraId="270433AE">
            <w:pPr>
              <w:snapToGrid w:val="0"/>
              <w:spacing w:before="50" w:afterLines="50"/>
              <w:jc w:val="center"/>
              <w:rPr>
                <w:rFonts w:ascii="宋体" w:hAnsi="宋体"/>
                <w:sz w:val="24"/>
                <w:szCs w:val="20"/>
              </w:rPr>
            </w:pPr>
            <w:r>
              <w:rPr>
                <w:rFonts w:hint="eastAsia" w:ascii="宋体" w:hAnsi="宋体"/>
                <w:sz w:val="24"/>
                <w:szCs w:val="20"/>
              </w:rPr>
              <w:t>姓名</w:t>
            </w:r>
          </w:p>
        </w:tc>
        <w:tc>
          <w:tcPr>
            <w:tcW w:w="784" w:type="dxa"/>
            <w:vAlign w:val="center"/>
          </w:tcPr>
          <w:p w14:paraId="421F0343">
            <w:pPr>
              <w:snapToGrid w:val="0"/>
              <w:spacing w:before="50" w:afterLines="50"/>
              <w:jc w:val="center"/>
              <w:rPr>
                <w:rFonts w:ascii="宋体" w:hAnsi="宋体"/>
                <w:sz w:val="24"/>
                <w:szCs w:val="20"/>
              </w:rPr>
            </w:pPr>
            <w:r>
              <w:rPr>
                <w:rFonts w:hint="eastAsia" w:ascii="宋体" w:hAnsi="宋体"/>
                <w:sz w:val="24"/>
                <w:szCs w:val="20"/>
              </w:rPr>
              <w:t>职务</w:t>
            </w:r>
          </w:p>
        </w:tc>
        <w:tc>
          <w:tcPr>
            <w:tcW w:w="1882" w:type="dxa"/>
            <w:vAlign w:val="center"/>
          </w:tcPr>
          <w:p w14:paraId="004B3950">
            <w:pPr>
              <w:snapToGrid w:val="0"/>
              <w:spacing w:before="50" w:afterLines="50"/>
              <w:jc w:val="center"/>
              <w:rPr>
                <w:rFonts w:ascii="宋体" w:hAnsi="宋体"/>
                <w:sz w:val="24"/>
                <w:szCs w:val="20"/>
              </w:rPr>
            </w:pPr>
            <w:r>
              <w:rPr>
                <w:rFonts w:hint="eastAsia" w:ascii="宋体" w:hAnsi="宋体"/>
                <w:sz w:val="24"/>
                <w:szCs w:val="20"/>
              </w:rPr>
              <w:t>专业技术资格（职称）或者职业资格或者执业资格证或者其他证书</w:t>
            </w:r>
          </w:p>
        </w:tc>
        <w:tc>
          <w:tcPr>
            <w:tcW w:w="1571" w:type="dxa"/>
            <w:vAlign w:val="center"/>
          </w:tcPr>
          <w:p w14:paraId="015DED0A">
            <w:pPr>
              <w:snapToGrid w:val="0"/>
              <w:spacing w:before="50" w:afterLines="50"/>
              <w:jc w:val="center"/>
              <w:rPr>
                <w:rFonts w:ascii="宋体" w:hAnsi="宋体"/>
                <w:sz w:val="24"/>
                <w:szCs w:val="20"/>
              </w:rPr>
            </w:pPr>
            <w:r>
              <w:rPr>
                <w:rFonts w:hint="eastAsia" w:ascii="宋体" w:hAnsi="宋体"/>
                <w:sz w:val="24"/>
                <w:szCs w:val="20"/>
              </w:rPr>
              <w:t>证书编号</w:t>
            </w:r>
          </w:p>
        </w:tc>
        <w:tc>
          <w:tcPr>
            <w:tcW w:w="1878" w:type="dxa"/>
            <w:vAlign w:val="center"/>
          </w:tcPr>
          <w:p w14:paraId="246C93F3">
            <w:pPr>
              <w:snapToGrid w:val="0"/>
              <w:spacing w:before="50" w:afterLines="50"/>
              <w:jc w:val="center"/>
              <w:rPr>
                <w:rFonts w:ascii="宋体" w:hAnsi="宋体"/>
                <w:sz w:val="24"/>
                <w:szCs w:val="20"/>
              </w:rPr>
            </w:pPr>
            <w:r>
              <w:rPr>
                <w:rFonts w:hint="eastAsia" w:ascii="宋体" w:hAnsi="宋体"/>
                <w:sz w:val="24"/>
                <w:szCs w:val="20"/>
              </w:rPr>
              <w:t>参加本单位</w:t>
            </w:r>
          </w:p>
          <w:p w14:paraId="3A457E15">
            <w:pPr>
              <w:snapToGrid w:val="0"/>
              <w:spacing w:before="50" w:afterLines="50"/>
              <w:jc w:val="center"/>
              <w:rPr>
                <w:rFonts w:ascii="宋体" w:hAnsi="宋体"/>
                <w:sz w:val="24"/>
                <w:szCs w:val="20"/>
              </w:rPr>
            </w:pPr>
            <w:r>
              <w:rPr>
                <w:rFonts w:hint="eastAsia" w:ascii="宋体" w:hAnsi="宋体"/>
                <w:sz w:val="24"/>
                <w:szCs w:val="20"/>
              </w:rPr>
              <w:t>工作时间</w:t>
            </w:r>
          </w:p>
        </w:tc>
        <w:tc>
          <w:tcPr>
            <w:tcW w:w="2039" w:type="dxa"/>
            <w:vAlign w:val="center"/>
          </w:tcPr>
          <w:p w14:paraId="7E2702D9">
            <w:pPr>
              <w:snapToGrid w:val="0"/>
              <w:spacing w:before="50" w:afterLines="50"/>
              <w:jc w:val="center"/>
              <w:rPr>
                <w:rFonts w:ascii="宋体" w:hAnsi="宋体"/>
                <w:sz w:val="24"/>
                <w:szCs w:val="20"/>
              </w:rPr>
            </w:pPr>
            <w:r>
              <w:rPr>
                <w:rFonts w:hint="eastAsia" w:ascii="宋体" w:hAnsi="宋体"/>
                <w:sz w:val="24"/>
                <w:szCs w:val="20"/>
              </w:rPr>
              <w:t>劳动合同编号</w:t>
            </w:r>
          </w:p>
        </w:tc>
      </w:tr>
      <w:tr w14:paraId="5EAF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04" w:type="dxa"/>
            <w:vAlign w:val="center"/>
          </w:tcPr>
          <w:p w14:paraId="79C97889">
            <w:pPr>
              <w:snapToGrid w:val="0"/>
              <w:spacing w:before="50" w:afterLines="50"/>
              <w:jc w:val="center"/>
              <w:rPr>
                <w:rFonts w:ascii="宋体" w:hAnsi="宋体"/>
                <w:sz w:val="24"/>
                <w:szCs w:val="20"/>
              </w:rPr>
            </w:pPr>
          </w:p>
        </w:tc>
        <w:tc>
          <w:tcPr>
            <w:tcW w:w="784" w:type="dxa"/>
            <w:vAlign w:val="center"/>
          </w:tcPr>
          <w:p w14:paraId="1B5FEF48">
            <w:pPr>
              <w:snapToGrid w:val="0"/>
              <w:spacing w:before="50" w:afterLines="50"/>
              <w:jc w:val="center"/>
              <w:rPr>
                <w:rFonts w:ascii="宋体" w:hAnsi="宋体"/>
                <w:sz w:val="24"/>
                <w:szCs w:val="20"/>
              </w:rPr>
            </w:pPr>
          </w:p>
        </w:tc>
        <w:tc>
          <w:tcPr>
            <w:tcW w:w="1882" w:type="dxa"/>
            <w:vAlign w:val="center"/>
          </w:tcPr>
          <w:p w14:paraId="1F68F72F">
            <w:pPr>
              <w:snapToGrid w:val="0"/>
              <w:spacing w:before="50" w:afterLines="50"/>
              <w:jc w:val="center"/>
              <w:rPr>
                <w:rFonts w:ascii="宋体" w:hAnsi="宋体"/>
                <w:sz w:val="24"/>
                <w:szCs w:val="20"/>
              </w:rPr>
            </w:pPr>
          </w:p>
        </w:tc>
        <w:tc>
          <w:tcPr>
            <w:tcW w:w="1571" w:type="dxa"/>
            <w:vAlign w:val="center"/>
          </w:tcPr>
          <w:p w14:paraId="0E076E28">
            <w:pPr>
              <w:snapToGrid w:val="0"/>
              <w:spacing w:before="50" w:afterLines="50"/>
              <w:jc w:val="center"/>
              <w:rPr>
                <w:rFonts w:ascii="宋体" w:hAnsi="宋体"/>
                <w:sz w:val="24"/>
                <w:szCs w:val="20"/>
              </w:rPr>
            </w:pPr>
          </w:p>
        </w:tc>
        <w:tc>
          <w:tcPr>
            <w:tcW w:w="1878" w:type="dxa"/>
            <w:vAlign w:val="center"/>
          </w:tcPr>
          <w:p w14:paraId="051D5E04">
            <w:pPr>
              <w:snapToGrid w:val="0"/>
              <w:spacing w:before="50" w:afterLines="50"/>
              <w:jc w:val="center"/>
              <w:rPr>
                <w:rFonts w:ascii="宋体" w:hAnsi="宋体"/>
                <w:sz w:val="24"/>
                <w:szCs w:val="20"/>
              </w:rPr>
            </w:pPr>
          </w:p>
        </w:tc>
        <w:tc>
          <w:tcPr>
            <w:tcW w:w="2039" w:type="dxa"/>
            <w:vAlign w:val="center"/>
          </w:tcPr>
          <w:p w14:paraId="0A984EC9">
            <w:pPr>
              <w:snapToGrid w:val="0"/>
              <w:spacing w:before="50" w:afterLines="50"/>
              <w:jc w:val="center"/>
              <w:rPr>
                <w:rFonts w:ascii="宋体" w:hAnsi="宋体"/>
                <w:sz w:val="24"/>
                <w:szCs w:val="20"/>
              </w:rPr>
            </w:pPr>
          </w:p>
        </w:tc>
      </w:tr>
      <w:tr w14:paraId="7DFF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04" w:type="dxa"/>
            <w:vAlign w:val="center"/>
          </w:tcPr>
          <w:p w14:paraId="1D590F5B">
            <w:pPr>
              <w:snapToGrid w:val="0"/>
              <w:spacing w:before="50" w:afterLines="50"/>
              <w:jc w:val="center"/>
              <w:rPr>
                <w:rFonts w:ascii="宋体" w:hAnsi="宋体"/>
                <w:sz w:val="24"/>
                <w:szCs w:val="20"/>
              </w:rPr>
            </w:pPr>
          </w:p>
        </w:tc>
        <w:tc>
          <w:tcPr>
            <w:tcW w:w="784" w:type="dxa"/>
            <w:vAlign w:val="center"/>
          </w:tcPr>
          <w:p w14:paraId="1795E444">
            <w:pPr>
              <w:snapToGrid w:val="0"/>
              <w:spacing w:before="50" w:afterLines="50"/>
              <w:jc w:val="center"/>
              <w:rPr>
                <w:rFonts w:ascii="宋体" w:hAnsi="宋体"/>
                <w:sz w:val="24"/>
                <w:szCs w:val="20"/>
              </w:rPr>
            </w:pPr>
          </w:p>
        </w:tc>
        <w:tc>
          <w:tcPr>
            <w:tcW w:w="1882" w:type="dxa"/>
            <w:vAlign w:val="center"/>
          </w:tcPr>
          <w:p w14:paraId="643119EB">
            <w:pPr>
              <w:snapToGrid w:val="0"/>
              <w:spacing w:before="50" w:afterLines="50"/>
              <w:jc w:val="center"/>
              <w:rPr>
                <w:rFonts w:ascii="宋体" w:hAnsi="宋体"/>
                <w:sz w:val="24"/>
                <w:szCs w:val="20"/>
              </w:rPr>
            </w:pPr>
          </w:p>
        </w:tc>
        <w:tc>
          <w:tcPr>
            <w:tcW w:w="1571" w:type="dxa"/>
            <w:vAlign w:val="center"/>
          </w:tcPr>
          <w:p w14:paraId="5222A76A">
            <w:pPr>
              <w:snapToGrid w:val="0"/>
              <w:spacing w:before="50" w:afterLines="50"/>
              <w:jc w:val="center"/>
              <w:rPr>
                <w:rFonts w:ascii="宋体" w:hAnsi="宋体"/>
                <w:sz w:val="24"/>
                <w:szCs w:val="20"/>
              </w:rPr>
            </w:pPr>
          </w:p>
        </w:tc>
        <w:tc>
          <w:tcPr>
            <w:tcW w:w="1878" w:type="dxa"/>
            <w:vAlign w:val="center"/>
          </w:tcPr>
          <w:p w14:paraId="034FBA13">
            <w:pPr>
              <w:snapToGrid w:val="0"/>
              <w:spacing w:before="50" w:afterLines="50"/>
              <w:jc w:val="center"/>
              <w:rPr>
                <w:rFonts w:ascii="宋体" w:hAnsi="宋体"/>
                <w:sz w:val="24"/>
                <w:szCs w:val="20"/>
              </w:rPr>
            </w:pPr>
          </w:p>
        </w:tc>
        <w:tc>
          <w:tcPr>
            <w:tcW w:w="2039" w:type="dxa"/>
            <w:vAlign w:val="center"/>
          </w:tcPr>
          <w:p w14:paraId="19150E91">
            <w:pPr>
              <w:snapToGrid w:val="0"/>
              <w:spacing w:before="50" w:afterLines="50"/>
              <w:jc w:val="center"/>
              <w:rPr>
                <w:rFonts w:ascii="宋体" w:hAnsi="宋体"/>
                <w:sz w:val="24"/>
                <w:szCs w:val="20"/>
              </w:rPr>
            </w:pPr>
          </w:p>
        </w:tc>
      </w:tr>
      <w:tr w14:paraId="45F2D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904" w:type="dxa"/>
            <w:vAlign w:val="center"/>
          </w:tcPr>
          <w:p w14:paraId="2F853FFF">
            <w:pPr>
              <w:snapToGrid w:val="0"/>
              <w:spacing w:before="50" w:afterLines="50"/>
              <w:jc w:val="center"/>
              <w:rPr>
                <w:rFonts w:ascii="宋体" w:hAnsi="宋体"/>
                <w:sz w:val="24"/>
                <w:szCs w:val="20"/>
              </w:rPr>
            </w:pPr>
          </w:p>
        </w:tc>
        <w:tc>
          <w:tcPr>
            <w:tcW w:w="784" w:type="dxa"/>
            <w:vAlign w:val="center"/>
          </w:tcPr>
          <w:p w14:paraId="3DB04033">
            <w:pPr>
              <w:snapToGrid w:val="0"/>
              <w:spacing w:before="50" w:afterLines="50"/>
              <w:jc w:val="center"/>
              <w:rPr>
                <w:rFonts w:ascii="宋体" w:hAnsi="宋体"/>
                <w:sz w:val="24"/>
                <w:szCs w:val="20"/>
              </w:rPr>
            </w:pPr>
          </w:p>
        </w:tc>
        <w:tc>
          <w:tcPr>
            <w:tcW w:w="1882" w:type="dxa"/>
            <w:vAlign w:val="center"/>
          </w:tcPr>
          <w:p w14:paraId="594848FD">
            <w:pPr>
              <w:snapToGrid w:val="0"/>
              <w:spacing w:before="50" w:afterLines="50"/>
              <w:jc w:val="center"/>
              <w:rPr>
                <w:rFonts w:ascii="宋体" w:hAnsi="宋体"/>
                <w:sz w:val="24"/>
                <w:szCs w:val="20"/>
              </w:rPr>
            </w:pPr>
          </w:p>
        </w:tc>
        <w:tc>
          <w:tcPr>
            <w:tcW w:w="1571" w:type="dxa"/>
            <w:vAlign w:val="center"/>
          </w:tcPr>
          <w:p w14:paraId="256E2237">
            <w:pPr>
              <w:snapToGrid w:val="0"/>
              <w:spacing w:before="50" w:afterLines="50"/>
              <w:jc w:val="center"/>
              <w:rPr>
                <w:rFonts w:ascii="宋体" w:hAnsi="宋体"/>
                <w:sz w:val="24"/>
                <w:szCs w:val="20"/>
              </w:rPr>
            </w:pPr>
          </w:p>
        </w:tc>
        <w:tc>
          <w:tcPr>
            <w:tcW w:w="1878" w:type="dxa"/>
            <w:vAlign w:val="center"/>
          </w:tcPr>
          <w:p w14:paraId="22671B9C">
            <w:pPr>
              <w:snapToGrid w:val="0"/>
              <w:spacing w:before="50" w:afterLines="50"/>
              <w:jc w:val="center"/>
              <w:rPr>
                <w:rFonts w:ascii="宋体" w:hAnsi="宋体"/>
                <w:sz w:val="24"/>
                <w:szCs w:val="20"/>
              </w:rPr>
            </w:pPr>
          </w:p>
        </w:tc>
        <w:tc>
          <w:tcPr>
            <w:tcW w:w="2039" w:type="dxa"/>
            <w:vAlign w:val="center"/>
          </w:tcPr>
          <w:p w14:paraId="36FE86F4">
            <w:pPr>
              <w:snapToGrid w:val="0"/>
              <w:spacing w:before="50" w:afterLines="50"/>
              <w:jc w:val="center"/>
              <w:rPr>
                <w:rFonts w:ascii="宋体" w:hAnsi="宋体"/>
                <w:sz w:val="24"/>
                <w:szCs w:val="20"/>
              </w:rPr>
            </w:pPr>
          </w:p>
        </w:tc>
      </w:tr>
    </w:tbl>
    <w:p w14:paraId="662DDB5B">
      <w:pPr>
        <w:snapToGrid w:val="0"/>
        <w:spacing w:before="50" w:afterLines="50"/>
        <w:jc w:val="left"/>
        <w:rPr>
          <w:rFonts w:ascii="宋体" w:hAnsi="宋体"/>
          <w:sz w:val="24"/>
          <w:szCs w:val="20"/>
        </w:rPr>
      </w:pPr>
    </w:p>
    <w:p w14:paraId="301F989D">
      <w:pPr>
        <w:spacing w:line="360" w:lineRule="auto"/>
        <w:contextualSpacing/>
        <w:jc w:val="left"/>
        <w:rPr>
          <w:rFonts w:ascii="宋体" w:hAnsi="宋体"/>
          <w:sz w:val="24"/>
          <w:szCs w:val="20"/>
        </w:rPr>
      </w:pPr>
      <w:r>
        <w:rPr>
          <w:rFonts w:hint="eastAsia" w:ascii="宋体" w:hAnsi="宋体"/>
          <w:sz w:val="24"/>
          <w:szCs w:val="20"/>
        </w:rPr>
        <w:t>注：</w:t>
      </w:r>
    </w:p>
    <w:p w14:paraId="673F7C1F">
      <w:pPr>
        <w:spacing w:line="360" w:lineRule="auto"/>
        <w:contextualSpacing/>
        <w:jc w:val="left"/>
        <w:rPr>
          <w:rFonts w:ascii="宋体" w:hAnsi="宋体"/>
          <w:sz w:val="24"/>
          <w:szCs w:val="20"/>
        </w:rPr>
      </w:pPr>
      <w:r>
        <w:rPr>
          <w:rFonts w:hint="eastAsia" w:ascii="宋体" w:hAnsi="宋体"/>
          <w:sz w:val="24"/>
          <w:szCs w:val="20"/>
        </w:rPr>
        <w:t>1</w:t>
      </w:r>
      <w:r>
        <w:rPr>
          <w:rFonts w:ascii="宋体" w:hAnsi="宋体"/>
          <w:sz w:val="24"/>
          <w:szCs w:val="20"/>
        </w:rPr>
        <w:t>.</w:t>
      </w:r>
      <w:r>
        <w:rPr>
          <w:rFonts w:hint="eastAsia" w:ascii="宋体" w:hAnsi="宋体"/>
          <w:sz w:val="24"/>
          <w:szCs w:val="20"/>
        </w:rPr>
        <w:t>在填写时，如本表格不适合投标单位的实际情况，可根据本表格式自行制表填写。</w:t>
      </w:r>
    </w:p>
    <w:p w14:paraId="70E647B6">
      <w:pPr>
        <w:snapToGrid w:val="0"/>
        <w:spacing w:before="50" w:after="50" w:line="480" w:lineRule="auto"/>
        <w:ind w:left="-3" w:leftChars="-15" w:right="-817" w:rightChars="-389" w:hanging="28" w:hangingChars="12"/>
        <w:jc w:val="left"/>
        <w:rPr>
          <w:rFonts w:ascii="宋体" w:hAnsi="宋体"/>
          <w:sz w:val="24"/>
        </w:rPr>
      </w:pPr>
      <w:r>
        <w:rPr>
          <w:rFonts w:ascii="宋体" w:hAnsi="宋体"/>
          <w:sz w:val="24"/>
          <w:szCs w:val="20"/>
        </w:rPr>
        <w:t>2.</w:t>
      </w:r>
      <w:r>
        <w:rPr>
          <w:rFonts w:hint="eastAsia" w:ascii="宋体" w:hAnsi="宋体"/>
          <w:sz w:val="24"/>
          <w:szCs w:val="20"/>
        </w:rPr>
        <w:t>投标人应当附本表所列证书的复印件并加盖投标人电子公章。</w:t>
      </w:r>
    </w:p>
    <w:p w14:paraId="45FBBA9D">
      <w:pPr>
        <w:jc w:val="left"/>
        <w:rPr>
          <w:rFonts w:ascii="宋体" w:hAnsi="宋体"/>
          <w:b/>
          <w:sz w:val="24"/>
        </w:rPr>
      </w:pPr>
      <w:r>
        <w:rPr>
          <w:rFonts w:hint="eastAsia" w:ascii="宋体" w:hAnsi="宋体"/>
          <w:sz w:val="24"/>
        </w:rPr>
        <w:br w:type="page"/>
      </w:r>
      <w:r>
        <w:rPr>
          <w:rFonts w:hint="eastAsia" w:ascii="宋体" w:hAnsi="宋体"/>
          <w:b/>
          <w:sz w:val="24"/>
        </w:rPr>
        <w:t>11.选配件、专用耗材、售后服务优惠表格式(注：按项目需求表具体项目修改)</w:t>
      </w:r>
    </w:p>
    <w:p w14:paraId="659777A1">
      <w:pPr>
        <w:snapToGrid w:val="0"/>
        <w:spacing w:beforeLines="50" w:after="50"/>
        <w:ind w:left="142"/>
        <w:jc w:val="left"/>
        <w:rPr>
          <w:rFonts w:ascii="宋体" w:hAnsi="宋体"/>
          <w:b/>
          <w:sz w:val="24"/>
        </w:rPr>
      </w:pPr>
    </w:p>
    <w:p w14:paraId="21E3AD9E">
      <w:pPr>
        <w:snapToGrid w:val="0"/>
        <w:spacing w:beforeLines="50" w:after="50"/>
        <w:ind w:left="142"/>
        <w:jc w:val="center"/>
        <w:rPr>
          <w:rFonts w:ascii="宋体" w:hAnsi="宋体"/>
          <w:b/>
          <w:sz w:val="24"/>
        </w:rPr>
      </w:pPr>
      <w:r>
        <w:rPr>
          <w:rFonts w:hint="eastAsia" w:ascii="宋体" w:hAnsi="宋体"/>
          <w:b/>
          <w:sz w:val="24"/>
        </w:rPr>
        <w:t>选配件、专用耗材、售后服务优惠表</w:t>
      </w:r>
    </w:p>
    <w:p w14:paraId="070E7EB6">
      <w:pPr>
        <w:pStyle w:val="15"/>
        <w:rPr>
          <w:sz w:val="21"/>
        </w:rPr>
      </w:pPr>
      <w:r>
        <w:rPr>
          <w:rFonts w:hint="eastAsia"/>
          <w:sz w:val="21"/>
        </w:rPr>
        <w:t>所投分标：</w:t>
      </w:r>
      <w:r>
        <w:rPr>
          <w:rFonts w:hint="eastAsia" w:hAnsi="宋体"/>
          <w:sz w:val="21"/>
          <w:u w:val="single"/>
        </w:rPr>
        <w:t>标项</w:t>
      </w:r>
    </w:p>
    <w:tbl>
      <w:tblPr>
        <w:tblStyle w:val="2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04B0B3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A533554">
            <w:pPr>
              <w:pStyle w:val="15"/>
              <w:snapToGrid w:val="0"/>
              <w:spacing w:before="295" w:after="295"/>
              <w:jc w:val="center"/>
              <w:rPr>
                <w:rFonts w:hAnsi="宋体" w:cs="Courier New"/>
                <w:kern w:val="2"/>
                <w:sz w:val="21"/>
              </w:rPr>
            </w:pPr>
            <w:r>
              <w:rPr>
                <w:rFonts w:hint="eastAsia" w:hAnsi="宋体" w:cs="Courier New"/>
                <w:kern w:val="2"/>
                <w:sz w:val="21"/>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780AEC1C">
            <w:pPr>
              <w:pStyle w:val="15"/>
              <w:snapToGrid w:val="0"/>
              <w:spacing w:before="295" w:after="295"/>
              <w:jc w:val="center"/>
              <w:rPr>
                <w:rFonts w:hAnsi="宋体" w:cs="Courier New"/>
                <w:kern w:val="2"/>
                <w:sz w:val="21"/>
              </w:rPr>
            </w:pPr>
            <w:r>
              <w:rPr>
                <w:rFonts w:hint="eastAsia" w:hAnsi="宋体" w:cs="Courier New"/>
                <w:kern w:val="2"/>
                <w:sz w:val="21"/>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79883583">
            <w:pPr>
              <w:pStyle w:val="15"/>
              <w:snapToGrid w:val="0"/>
              <w:spacing w:before="295" w:after="295"/>
              <w:jc w:val="center"/>
              <w:rPr>
                <w:rFonts w:hAnsi="宋体" w:cs="Courier New"/>
                <w:kern w:val="2"/>
                <w:sz w:val="21"/>
              </w:rPr>
            </w:pPr>
            <w:r>
              <w:rPr>
                <w:rFonts w:hint="eastAsia" w:hAnsi="宋体" w:cs="Courier New"/>
                <w:kern w:val="2"/>
                <w:sz w:val="21"/>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7FBE5DEE">
            <w:pPr>
              <w:pStyle w:val="15"/>
              <w:snapToGrid w:val="0"/>
              <w:spacing w:before="295" w:after="295"/>
              <w:jc w:val="center"/>
              <w:rPr>
                <w:rFonts w:hAnsi="宋体" w:cs="Courier New"/>
                <w:kern w:val="2"/>
                <w:sz w:val="21"/>
              </w:rPr>
            </w:pPr>
            <w:r>
              <w:rPr>
                <w:rFonts w:hint="eastAsia" w:hAnsi="宋体" w:cs="Courier New"/>
                <w:kern w:val="2"/>
                <w:sz w:val="21"/>
              </w:rPr>
              <w:t>单价</w:t>
            </w:r>
          </w:p>
        </w:tc>
        <w:tc>
          <w:tcPr>
            <w:tcW w:w="2340" w:type="dxa"/>
            <w:tcBorders>
              <w:top w:val="single" w:color="auto" w:sz="4" w:space="0"/>
              <w:left w:val="single" w:color="auto" w:sz="4" w:space="0"/>
              <w:bottom w:val="single" w:color="auto" w:sz="2" w:space="0"/>
              <w:right w:val="single" w:color="auto" w:sz="4" w:space="0"/>
            </w:tcBorders>
            <w:vAlign w:val="center"/>
          </w:tcPr>
          <w:p w14:paraId="64F0B2ED">
            <w:pPr>
              <w:pStyle w:val="15"/>
              <w:snapToGrid w:val="0"/>
              <w:spacing w:before="295" w:after="295"/>
              <w:jc w:val="center"/>
              <w:rPr>
                <w:rFonts w:hAnsi="宋体" w:cs="Courier New"/>
                <w:kern w:val="2"/>
                <w:sz w:val="21"/>
              </w:rPr>
            </w:pPr>
            <w:r>
              <w:rPr>
                <w:rFonts w:hint="eastAsia" w:hAnsi="宋体" w:cs="Courier New"/>
                <w:kern w:val="2"/>
                <w:sz w:val="21"/>
              </w:rPr>
              <w:t>比市场价优惠率</w:t>
            </w:r>
          </w:p>
        </w:tc>
      </w:tr>
      <w:tr w14:paraId="1CD772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3D1DD7B">
            <w:pPr>
              <w:pStyle w:val="15"/>
              <w:snapToGrid w:val="0"/>
              <w:spacing w:before="295" w:after="295"/>
              <w:jc w:val="center"/>
              <w:rPr>
                <w:rFonts w:hAnsi="宋体"/>
                <w:kern w:val="2"/>
                <w:sz w:val="21"/>
              </w:rPr>
            </w:pPr>
            <w:r>
              <w:rPr>
                <w:rFonts w:hint="eastAsia" w:hAnsi="宋体"/>
                <w:kern w:val="2"/>
                <w:sz w:val="21"/>
              </w:rPr>
              <w:t>1</w:t>
            </w:r>
          </w:p>
        </w:tc>
        <w:tc>
          <w:tcPr>
            <w:tcW w:w="2700" w:type="dxa"/>
            <w:tcBorders>
              <w:top w:val="single" w:color="auto" w:sz="2" w:space="0"/>
              <w:left w:val="single" w:color="auto" w:sz="2" w:space="0"/>
              <w:bottom w:val="single" w:color="auto" w:sz="6" w:space="0"/>
              <w:right w:val="single" w:color="auto" w:sz="4" w:space="0"/>
            </w:tcBorders>
            <w:vAlign w:val="center"/>
          </w:tcPr>
          <w:p w14:paraId="33818085">
            <w:pPr>
              <w:pStyle w:val="15"/>
              <w:snapToGrid w:val="0"/>
              <w:spacing w:before="295" w:after="295"/>
              <w:jc w:val="center"/>
              <w:rPr>
                <w:rFonts w:hAnsi="宋体"/>
                <w:kern w:val="2"/>
                <w:sz w:val="21"/>
              </w:rPr>
            </w:pPr>
          </w:p>
        </w:tc>
        <w:tc>
          <w:tcPr>
            <w:tcW w:w="1440" w:type="dxa"/>
            <w:tcBorders>
              <w:top w:val="single" w:color="auto" w:sz="2" w:space="0"/>
              <w:left w:val="single" w:color="auto" w:sz="4" w:space="0"/>
              <w:bottom w:val="single" w:color="auto" w:sz="6" w:space="0"/>
              <w:right w:val="single" w:color="auto" w:sz="6" w:space="0"/>
            </w:tcBorders>
            <w:vAlign w:val="center"/>
          </w:tcPr>
          <w:p w14:paraId="4558D7A0">
            <w:pPr>
              <w:pStyle w:val="15"/>
              <w:snapToGrid w:val="0"/>
              <w:spacing w:before="295" w:after="295"/>
              <w:jc w:val="center"/>
              <w:rPr>
                <w:rFonts w:hAnsi="宋体"/>
                <w:kern w:val="2"/>
                <w:sz w:val="21"/>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72D7D5D2">
            <w:pPr>
              <w:pStyle w:val="15"/>
              <w:snapToGrid w:val="0"/>
              <w:spacing w:before="295" w:after="295"/>
              <w:jc w:val="center"/>
              <w:rPr>
                <w:rFonts w:hAnsi="宋体"/>
                <w:kern w:val="2"/>
                <w:sz w:val="21"/>
              </w:rPr>
            </w:pPr>
          </w:p>
        </w:tc>
        <w:tc>
          <w:tcPr>
            <w:tcW w:w="2340" w:type="dxa"/>
            <w:tcBorders>
              <w:top w:val="single" w:color="auto" w:sz="2" w:space="0"/>
              <w:left w:val="single" w:color="auto" w:sz="6" w:space="0"/>
              <w:bottom w:val="single" w:color="auto" w:sz="6" w:space="0"/>
              <w:right w:val="single" w:color="auto" w:sz="2" w:space="0"/>
            </w:tcBorders>
            <w:vAlign w:val="center"/>
          </w:tcPr>
          <w:p w14:paraId="1A50C51B">
            <w:pPr>
              <w:pStyle w:val="15"/>
              <w:snapToGrid w:val="0"/>
              <w:spacing w:before="295" w:after="295"/>
              <w:jc w:val="center"/>
              <w:rPr>
                <w:rFonts w:hAnsi="宋体"/>
                <w:kern w:val="2"/>
                <w:sz w:val="21"/>
              </w:rPr>
            </w:pPr>
            <w:r>
              <w:rPr>
                <w:rFonts w:hint="eastAsia" w:hAnsi="宋体"/>
                <w:kern w:val="2"/>
                <w:sz w:val="21"/>
              </w:rPr>
              <w:t>%</w:t>
            </w:r>
          </w:p>
        </w:tc>
      </w:tr>
      <w:tr w14:paraId="375CE0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6A3437A">
            <w:pPr>
              <w:pStyle w:val="15"/>
              <w:snapToGrid w:val="0"/>
              <w:spacing w:before="295" w:after="295"/>
              <w:jc w:val="center"/>
              <w:rPr>
                <w:rFonts w:hAnsi="宋体"/>
                <w:kern w:val="2"/>
                <w:sz w:val="21"/>
              </w:rPr>
            </w:pPr>
            <w:r>
              <w:rPr>
                <w:rFonts w:hint="eastAsia" w:hAnsi="宋体"/>
                <w:kern w:val="2"/>
                <w:sz w:val="21"/>
              </w:rPr>
              <w:t>2</w:t>
            </w:r>
          </w:p>
        </w:tc>
        <w:tc>
          <w:tcPr>
            <w:tcW w:w="2700" w:type="dxa"/>
            <w:tcBorders>
              <w:top w:val="single" w:color="auto" w:sz="6" w:space="0"/>
              <w:left w:val="single" w:color="auto" w:sz="2" w:space="0"/>
              <w:bottom w:val="single" w:color="auto" w:sz="6" w:space="0"/>
              <w:right w:val="single" w:color="auto" w:sz="4" w:space="0"/>
            </w:tcBorders>
            <w:vAlign w:val="center"/>
          </w:tcPr>
          <w:p w14:paraId="264988E8">
            <w:pPr>
              <w:pStyle w:val="15"/>
              <w:snapToGrid w:val="0"/>
              <w:spacing w:before="295" w:after="295"/>
              <w:jc w:val="center"/>
              <w:rPr>
                <w:rFonts w:hAnsi="宋体"/>
                <w:kern w:val="2"/>
                <w:sz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2A846F17">
            <w:pPr>
              <w:pStyle w:val="15"/>
              <w:snapToGrid w:val="0"/>
              <w:spacing w:before="295" w:after="295"/>
              <w:jc w:val="center"/>
              <w:rPr>
                <w:rFonts w:hAnsi="宋体"/>
                <w:kern w:val="2"/>
                <w:sz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274D3197">
            <w:pPr>
              <w:pStyle w:val="15"/>
              <w:snapToGrid w:val="0"/>
              <w:spacing w:before="295" w:after="295"/>
              <w:jc w:val="center"/>
              <w:rPr>
                <w:rFonts w:hAnsi="宋体"/>
                <w:kern w:val="2"/>
                <w:sz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02CCF1F8">
            <w:pPr>
              <w:pStyle w:val="15"/>
              <w:snapToGrid w:val="0"/>
              <w:spacing w:before="295" w:after="295"/>
              <w:jc w:val="center"/>
              <w:rPr>
                <w:rFonts w:hAnsi="宋体"/>
                <w:kern w:val="2"/>
                <w:sz w:val="21"/>
              </w:rPr>
            </w:pPr>
            <w:r>
              <w:rPr>
                <w:rFonts w:hint="eastAsia" w:hAnsi="宋体"/>
                <w:kern w:val="2"/>
                <w:sz w:val="21"/>
              </w:rPr>
              <w:t>%</w:t>
            </w:r>
          </w:p>
        </w:tc>
      </w:tr>
      <w:tr w14:paraId="286419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6AF02C4B">
            <w:pPr>
              <w:pStyle w:val="15"/>
              <w:snapToGrid w:val="0"/>
              <w:spacing w:before="295" w:after="295"/>
              <w:jc w:val="center"/>
              <w:rPr>
                <w:rFonts w:hAnsi="宋体"/>
                <w:kern w:val="2"/>
                <w:sz w:val="21"/>
              </w:rPr>
            </w:pPr>
            <w:r>
              <w:rPr>
                <w:rFonts w:hint="eastAsia" w:hAnsi="宋体"/>
                <w:kern w:val="2"/>
                <w:sz w:val="21"/>
              </w:rPr>
              <w:t>3</w:t>
            </w:r>
          </w:p>
        </w:tc>
        <w:tc>
          <w:tcPr>
            <w:tcW w:w="2700" w:type="dxa"/>
            <w:tcBorders>
              <w:top w:val="single" w:color="auto" w:sz="6" w:space="0"/>
              <w:left w:val="single" w:color="auto" w:sz="2" w:space="0"/>
              <w:bottom w:val="single" w:color="auto" w:sz="6" w:space="0"/>
              <w:right w:val="single" w:color="auto" w:sz="4" w:space="0"/>
            </w:tcBorders>
            <w:vAlign w:val="center"/>
          </w:tcPr>
          <w:p w14:paraId="6A5AB557">
            <w:pPr>
              <w:pStyle w:val="15"/>
              <w:snapToGrid w:val="0"/>
              <w:spacing w:before="295" w:after="295"/>
              <w:jc w:val="center"/>
              <w:rPr>
                <w:rFonts w:hAnsi="宋体"/>
                <w:kern w:val="2"/>
                <w:sz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094D1867">
            <w:pPr>
              <w:pStyle w:val="15"/>
              <w:snapToGrid w:val="0"/>
              <w:spacing w:before="295" w:after="295"/>
              <w:jc w:val="center"/>
              <w:rPr>
                <w:rFonts w:hAnsi="宋体"/>
                <w:kern w:val="2"/>
                <w:sz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7BA3CB8">
            <w:pPr>
              <w:pStyle w:val="15"/>
              <w:snapToGrid w:val="0"/>
              <w:spacing w:before="295" w:after="295"/>
              <w:jc w:val="center"/>
              <w:rPr>
                <w:rFonts w:hAnsi="宋体"/>
                <w:kern w:val="2"/>
                <w:sz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50B500E7">
            <w:pPr>
              <w:pStyle w:val="15"/>
              <w:snapToGrid w:val="0"/>
              <w:spacing w:before="295" w:after="295"/>
              <w:jc w:val="center"/>
              <w:rPr>
                <w:rFonts w:hAnsi="宋体"/>
                <w:kern w:val="2"/>
                <w:sz w:val="21"/>
              </w:rPr>
            </w:pPr>
            <w:r>
              <w:rPr>
                <w:rFonts w:hint="eastAsia" w:hAnsi="宋体"/>
                <w:kern w:val="2"/>
                <w:sz w:val="21"/>
              </w:rPr>
              <w:t>%</w:t>
            </w:r>
          </w:p>
        </w:tc>
      </w:tr>
    </w:tbl>
    <w:p w14:paraId="10FCAF63">
      <w:pPr>
        <w:snapToGrid w:val="0"/>
        <w:spacing w:beforeLines="50" w:after="50"/>
        <w:outlineLvl w:val="1"/>
        <w:rPr>
          <w:rFonts w:ascii="宋体" w:hAnsi="宋体"/>
          <w:b/>
          <w:bCs/>
          <w:szCs w:val="21"/>
        </w:rPr>
      </w:pPr>
    </w:p>
    <w:p w14:paraId="31B429BD">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法定代表人或者委托代理人（签字/电子签名）：</w:t>
      </w:r>
    </w:p>
    <w:p w14:paraId="2D311F1F">
      <w:pPr>
        <w:snapToGrid w:val="0"/>
        <w:spacing w:before="50" w:after="50" w:line="300" w:lineRule="auto"/>
        <w:ind w:left="-6" w:leftChars="-15" w:right="-817" w:rightChars="-389" w:hanging="25" w:hangingChars="12"/>
        <w:jc w:val="left"/>
        <w:rPr>
          <w:rFonts w:ascii="宋体" w:hAnsi="宋体"/>
          <w:b/>
          <w:bCs/>
          <w:szCs w:val="21"/>
        </w:rPr>
      </w:pPr>
      <w:r>
        <w:rPr>
          <w:rFonts w:hint="eastAsia" w:ascii="宋体" w:hAnsi="宋体"/>
          <w:b/>
          <w:bCs/>
          <w:szCs w:val="21"/>
        </w:rPr>
        <w:t>投标人名称（公章或电子签章）：</w:t>
      </w:r>
    </w:p>
    <w:p w14:paraId="4CF7C0EB">
      <w:pPr>
        <w:snapToGrid w:val="0"/>
        <w:spacing w:before="50" w:after="50" w:line="480" w:lineRule="auto"/>
        <w:ind w:left="-6" w:leftChars="-15" w:right="-817" w:rightChars="-389" w:hanging="25" w:hangingChars="12"/>
        <w:jc w:val="left"/>
        <w:rPr>
          <w:rFonts w:ascii="宋体" w:hAnsi="宋体"/>
          <w:sz w:val="16"/>
          <w:szCs w:val="20"/>
        </w:rPr>
      </w:pPr>
      <w:r>
        <w:rPr>
          <w:rFonts w:hint="eastAsia" w:ascii="宋体" w:hAnsi="宋体"/>
          <w:b/>
          <w:bCs/>
          <w:szCs w:val="21"/>
        </w:rPr>
        <w:t>日期：    年   月   日</w:t>
      </w:r>
    </w:p>
    <w:p w14:paraId="7FE4A514">
      <w:pPr>
        <w:snapToGrid w:val="0"/>
        <w:spacing w:beforeLines="50" w:line="480" w:lineRule="auto"/>
        <w:rPr>
          <w:rFonts w:ascii="宋体" w:hAnsi="宋体"/>
          <w:szCs w:val="16"/>
        </w:rPr>
      </w:pPr>
    </w:p>
    <w:p w14:paraId="50882182">
      <w:pPr>
        <w:snapToGrid w:val="0"/>
        <w:spacing w:beforeLines="50" w:after="50"/>
        <w:jc w:val="center"/>
        <w:outlineLvl w:val="1"/>
        <w:rPr>
          <w:rFonts w:ascii="Arial" w:hAnsi="Arial" w:eastAsia="黑体"/>
          <w:b/>
          <w:bCs/>
          <w:kern w:val="0"/>
          <w:sz w:val="32"/>
          <w:szCs w:val="32"/>
        </w:rPr>
      </w:pPr>
      <w:r>
        <w:rPr>
          <w:rFonts w:ascii="宋体" w:hAnsi="宋体"/>
          <w:b/>
          <w:bCs/>
          <w:sz w:val="24"/>
        </w:rPr>
        <w:br w:type="page"/>
      </w:r>
      <w:bookmarkStart w:id="167" w:name="_Toc16006"/>
      <w:bookmarkStart w:id="168" w:name="_Toc19686840"/>
      <w:r>
        <w:rPr>
          <w:rFonts w:hint="eastAsia" w:ascii="Arial" w:hAnsi="Arial" w:eastAsia="黑体"/>
          <w:b/>
          <w:bCs/>
          <w:kern w:val="0"/>
          <w:sz w:val="32"/>
          <w:szCs w:val="32"/>
        </w:rPr>
        <w:t>第七章其他文书、文件格式</w:t>
      </w:r>
      <w:bookmarkEnd w:id="167"/>
      <w:bookmarkEnd w:id="168"/>
    </w:p>
    <w:p w14:paraId="1D5DAD59">
      <w:pPr>
        <w:spacing w:beforeLines="50" w:afterLines="50" w:line="400" w:lineRule="exact"/>
        <w:rPr>
          <w:rFonts w:ascii="宋体" w:hAnsi="宋体"/>
          <w:sz w:val="24"/>
        </w:rPr>
      </w:pPr>
    </w:p>
    <w:p w14:paraId="6BE22460">
      <w:pPr>
        <w:snapToGrid w:val="0"/>
        <w:spacing w:beforeLines="50" w:after="50"/>
        <w:ind w:left="142"/>
        <w:jc w:val="left"/>
        <w:rPr>
          <w:rFonts w:ascii="宋体" w:hAnsi="宋体"/>
          <w:b/>
          <w:spacing w:val="20"/>
          <w:sz w:val="24"/>
        </w:rPr>
      </w:pPr>
      <w:r>
        <w:rPr>
          <w:rFonts w:hint="eastAsia" w:ascii="宋体" w:hAnsi="宋体"/>
          <w:b/>
          <w:spacing w:val="20"/>
          <w:sz w:val="24"/>
        </w:rPr>
        <w:t>联合投标协议书格式</w:t>
      </w:r>
    </w:p>
    <w:p w14:paraId="44029877">
      <w:pPr>
        <w:pStyle w:val="2"/>
        <w:overflowPunct w:val="0"/>
        <w:jc w:val="center"/>
        <w:rPr>
          <w:rFonts w:ascii="宋体" w:hAnsi="宋体"/>
          <w:b/>
          <w:bCs/>
          <w:sz w:val="32"/>
          <w:szCs w:val="32"/>
        </w:rPr>
      </w:pPr>
      <w:r>
        <w:rPr>
          <w:rFonts w:hint="eastAsia" w:ascii="宋体" w:hAnsi="宋体"/>
          <w:b/>
          <w:bCs/>
          <w:sz w:val="32"/>
          <w:szCs w:val="32"/>
        </w:rPr>
        <w:t>联合体协议书</w:t>
      </w:r>
    </w:p>
    <w:p w14:paraId="2CF6440B">
      <w:pPr>
        <w:pStyle w:val="2"/>
        <w:overflowPunct w:val="0"/>
        <w:rPr>
          <w:rFonts w:ascii="宋体" w:hAnsi="宋体"/>
          <w:sz w:val="24"/>
        </w:rPr>
      </w:pPr>
    </w:p>
    <w:p w14:paraId="7B9107B0">
      <w:pPr>
        <w:pStyle w:val="2"/>
        <w:overflowPunct w:val="0"/>
        <w:rPr>
          <w:rFonts w:ascii="宋体" w:hAnsi="宋体"/>
          <w:sz w:val="24"/>
        </w:rPr>
      </w:pPr>
    </w:p>
    <w:p w14:paraId="2E13F9C1">
      <w:pPr>
        <w:pStyle w:val="2"/>
        <w:overflowPunct w:val="0"/>
        <w:rPr>
          <w:rFonts w:ascii="宋体" w:hAnsi="宋体"/>
          <w:sz w:val="24"/>
        </w:rPr>
      </w:pPr>
    </w:p>
    <w:p w14:paraId="221EA9CB">
      <w:pPr>
        <w:pStyle w:val="2"/>
        <w:overflowPunct w:val="0"/>
        <w:rPr>
          <w:rFonts w:ascii="宋体" w:hAnsi="宋体"/>
          <w:sz w:val="24"/>
        </w:rPr>
      </w:pPr>
      <w:r>
        <w:rPr>
          <w:rFonts w:ascii="宋体" w:hAnsi="宋体"/>
          <w:sz w:val="24"/>
          <w:u w:val="single"/>
        </w:rPr>
        <w:tab/>
      </w:r>
      <w:r>
        <w:rPr>
          <w:rFonts w:hint="eastAsia" w:ascii="宋体" w:hAnsi="宋体"/>
          <w:sz w:val="24"/>
        </w:rPr>
        <w:t>（所有成员单位名称）自愿组成</w:t>
      </w:r>
      <w:r>
        <w:rPr>
          <w:rFonts w:ascii="宋体" w:hAnsi="宋体"/>
          <w:sz w:val="24"/>
          <w:u w:val="single"/>
        </w:rPr>
        <w:tab/>
      </w:r>
      <w:r>
        <w:rPr>
          <w:rFonts w:hint="eastAsia" w:ascii="宋体" w:hAnsi="宋体"/>
          <w:sz w:val="24"/>
        </w:rPr>
        <w:t>（联合体名称）联合体，共同参加</w:t>
      </w:r>
      <w:r>
        <w:rPr>
          <w:rFonts w:ascii="宋体" w:hAnsi="宋体"/>
          <w:sz w:val="24"/>
          <w:u w:val="single"/>
        </w:rPr>
        <w:tab/>
      </w:r>
      <w:r>
        <w:rPr>
          <w:rFonts w:hint="eastAsia" w:ascii="宋体" w:hAnsi="宋体"/>
          <w:sz w:val="24"/>
          <w:u w:val="single"/>
        </w:rPr>
        <w:t>（项</w:t>
      </w:r>
      <w:r>
        <w:rPr>
          <w:rFonts w:hint="eastAsia" w:ascii="宋体" w:hAnsi="宋体"/>
          <w:sz w:val="24"/>
        </w:rPr>
        <w:t>目名称）采购招标项目投标。现就联合体投标事宜订立如下协议。</w:t>
      </w:r>
    </w:p>
    <w:p w14:paraId="2146A0DB">
      <w:pPr>
        <w:pStyle w:val="2"/>
        <w:overflowPunct w:val="0"/>
        <w:rPr>
          <w:rFonts w:ascii="宋体" w:hAnsi="宋体"/>
          <w:sz w:val="24"/>
        </w:rPr>
      </w:pPr>
    </w:p>
    <w:p w14:paraId="232B2F72">
      <w:pPr>
        <w:pStyle w:val="2"/>
        <w:overflowPunct w:val="0"/>
        <w:ind w:firstLineChars="175"/>
        <w:rPr>
          <w:rFonts w:ascii="宋体" w:hAnsi="宋体"/>
          <w:sz w:val="24"/>
        </w:rPr>
      </w:pPr>
      <w:r>
        <w:rPr>
          <w:rFonts w:ascii="宋体" w:hAnsi="宋体"/>
          <w:sz w:val="24"/>
        </w:rPr>
        <w:t xml:space="preserve">1.  </w:t>
      </w:r>
      <w:r>
        <w:rPr>
          <w:rFonts w:ascii="宋体" w:hAnsi="宋体"/>
          <w:sz w:val="24"/>
          <w:u w:val="single"/>
        </w:rPr>
        <w:tab/>
      </w:r>
      <w:r>
        <w:rPr>
          <w:rFonts w:hint="eastAsia" w:ascii="宋体" w:hAnsi="宋体"/>
          <w:sz w:val="24"/>
        </w:rPr>
        <w:t>（某成员单位名称）为</w:t>
      </w:r>
      <w:r>
        <w:rPr>
          <w:rFonts w:ascii="宋体" w:hAnsi="宋体"/>
          <w:sz w:val="24"/>
          <w:u w:val="single"/>
        </w:rPr>
        <w:tab/>
      </w:r>
      <w:r>
        <w:rPr>
          <w:rFonts w:hint="eastAsia" w:ascii="宋体" w:hAnsi="宋体"/>
          <w:sz w:val="24"/>
        </w:rPr>
        <w:t>（联合体名称）牵头人。</w:t>
      </w:r>
    </w:p>
    <w:p w14:paraId="24AE7D5D">
      <w:pPr>
        <w:pStyle w:val="2"/>
        <w:overflowPunct w:val="0"/>
        <w:ind w:firstLineChars="175"/>
        <w:rPr>
          <w:rFonts w:ascii="宋体" w:hAnsi="宋体"/>
          <w:sz w:val="24"/>
        </w:rPr>
      </w:pPr>
      <w:r>
        <w:rPr>
          <w:rFonts w:ascii="宋体" w:hAnsi="宋体"/>
          <w:sz w:val="24"/>
        </w:rPr>
        <w:t>2.</w:t>
      </w:r>
      <w:r>
        <w:rPr>
          <w:rFonts w:hint="eastAsia" w:ascii="宋体" w:hAnsi="宋体"/>
          <w:sz w:val="24"/>
        </w:rPr>
        <w:t>联合体各成员授权牵头人代表联合体参加投标活动，签署文件及对文件的盖章，提交和接收相关的资料、信息及指示，进行合同谈判活动，负责合同实施阶段的组织和协调工作，以及处理与本招标项目有关的一切事宜。</w:t>
      </w:r>
    </w:p>
    <w:p w14:paraId="29311C79">
      <w:pPr>
        <w:pStyle w:val="2"/>
        <w:overflowPunct w:val="0"/>
        <w:ind w:firstLineChars="175"/>
        <w:rPr>
          <w:rFonts w:ascii="宋体" w:hAnsi="宋体"/>
          <w:sz w:val="24"/>
        </w:rPr>
      </w:pPr>
      <w:r>
        <w:rPr>
          <w:rFonts w:ascii="宋体" w:hAnsi="宋体"/>
          <w:sz w:val="24"/>
        </w:rPr>
        <w:t>3.</w:t>
      </w:r>
      <w:r>
        <w:rPr>
          <w:rFonts w:hint="eastAsia" w:ascii="宋体" w:hAnsi="宋体"/>
          <w:sz w:val="24"/>
        </w:rPr>
        <w:t>联合体牵头人在本项目中签署和盖章的一切文件和处理的一切事宜，联合体各成员均予以承认。联合体各成员将严格按照招标文件、投标文件和合同的要求全面履行义务，并向招标人承担连带责任。</w:t>
      </w:r>
    </w:p>
    <w:p w14:paraId="2A2070A7">
      <w:pPr>
        <w:pStyle w:val="2"/>
        <w:overflowPunct w:val="0"/>
        <w:ind w:firstLineChars="175"/>
        <w:rPr>
          <w:rFonts w:ascii="宋体" w:hAnsi="宋体"/>
          <w:sz w:val="24"/>
        </w:rPr>
      </w:pPr>
      <w:r>
        <w:rPr>
          <w:rFonts w:ascii="宋体" w:hAnsi="宋体"/>
          <w:sz w:val="24"/>
        </w:rPr>
        <w:t>4.</w:t>
      </w:r>
      <w:r>
        <w:rPr>
          <w:rFonts w:hint="eastAsia" w:ascii="宋体" w:hAnsi="宋体"/>
          <w:sz w:val="24"/>
        </w:rPr>
        <w:t>联合体各成员单位内部的职责分工如下：</w:t>
      </w:r>
      <w:r>
        <w:rPr>
          <w:rFonts w:ascii="宋体" w:hAnsi="宋体"/>
          <w:sz w:val="24"/>
          <w:u w:val="single"/>
        </w:rPr>
        <w:tab/>
      </w:r>
      <w:r>
        <w:rPr>
          <w:rFonts w:hint="eastAsia" w:ascii="宋体" w:hAnsi="宋体"/>
          <w:sz w:val="24"/>
        </w:rPr>
        <w:t>。</w:t>
      </w:r>
    </w:p>
    <w:p w14:paraId="1B2A72EE">
      <w:pPr>
        <w:pStyle w:val="2"/>
        <w:overflowPunct w:val="0"/>
        <w:ind w:firstLineChars="175"/>
        <w:rPr>
          <w:rFonts w:ascii="宋体" w:hAnsi="宋体"/>
          <w:sz w:val="24"/>
        </w:rPr>
      </w:pPr>
      <w:r>
        <w:rPr>
          <w:rFonts w:ascii="宋体" w:hAnsi="宋体"/>
          <w:sz w:val="24"/>
        </w:rPr>
        <w:t>5.</w:t>
      </w:r>
      <w:r>
        <w:rPr>
          <w:rFonts w:hint="eastAsia" w:ascii="宋体" w:hAnsi="宋体"/>
          <w:sz w:val="24"/>
        </w:rPr>
        <w:t>本协议书自所有成员单位法定代表人或者其委托代理人签字或者盖公章之日起生效，合同履行完毕后自动失效。</w:t>
      </w:r>
    </w:p>
    <w:p w14:paraId="660BC0C8">
      <w:pPr>
        <w:pStyle w:val="2"/>
        <w:overflowPunct w:val="0"/>
        <w:ind w:firstLineChars="175"/>
        <w:rPr>
          <w:rFonts w:ascii="宋体" w:hAnsi="宋体"/>
          <w:sz w:val="24"/>
        </w:rPr>
      </w:pPr>
      <w:r>
        <w:rPr>
          <w:rFonts w:ascii="宋体" w:hAnsi="宋体"/>
          <w:sz w:val="24"/>
        </w:rPr>
        <w:t>6.</w:t>
      </w:r>
      <w:r>
        <w:rPr>
          <w:rFonts w:hint="eastAsia" w:ascii="宋体" w:hAnsi="宋体"/>
          <w:sz w:val="24"/>
        </w:rPr>
        <w:t>本协议书一式</w:t>
      </w:r>
      <w:r>
        <w:rPr>
          <w:rFonts w:ascii="宋体" w:hAnsi="宋体"/>
          <w:sz w:val="24"/>
          <w:u w:val="single"/>
        </w:rPr>
        <w:tab/>
      </w:r>
      <w:r>
        <w:rPr>
          <w:rFonts w:hint="eastAsia" w:ascii="宋体" w:hAnsi="宋体"/>
          <w:sz w:val="24"/>
        </w:rPr>
        <w:t>份，联合体成员和招标人各执一份。</w:t>
      </w:r>
    </w:p>
    <w:p w14:paraId="342FAFAD">
      <w:pPr>
        <w:pStyle w:val="2"/>
        <w:overflowPunct w:val="0"/>
        <w:ind w:firstLine="0"/>
        <w:rPr>
          <w:rFonts w:ascii="宋体" w:hAnsi="宋体"/>
          <w:sz w:val="24"/>
        </w:rPr>
      </w:pPr>
    </w:p>
    <w:p w14:paraId="42D177C5">
      <w:pPr>
        <w:pStyle w:val="2"/>
        <w:overflowPunct w:val="0"/>
        <w:ind w:firstLineChars="175"/>
        <w:rPr>
          <w:rFonts w:ascii="宋体" w:hAnsi="宋体"/>
          <w:sz w:val="24"/>
        </w:rPr>
      </w:pPr>
      <w:r>
        <w:rPr>
          <w:rFonts w:hint="eastAsia" w:ascii="宋体" w:hAnsi="宋体"/>
          <w:sz w:val="24"/>
        </w:rPr>
        <w:t>注：本协议书由法定代表人签字的，应附法定代表人身份</w:t>
      </w:r>
    </w:p>
    <w:p w14:paraId="56AF79F5">
      <w:pPr>
        <w:pStyle w:val="2"/>
        <w:overflowPunct w:val="0"/>
        <w:ind w:firstLineChars="175"/>
        <w:rPr>
          <w:rFonts w:ascii="宋体" w:hAnsi="宋体"/>
          <w:sz w:val="24"/>
        </w:rPr>
      </w:pPr>
      <w:r>
        <w:rPr>
          <w:rFonts w:hint="eastAsia" w:ascii="宋体" w:hAnsi="宋体"/>
          <w:sz w:val="24"/>
        </w:rPr>
        <w:t>证明；由委托代理人签字的，应附授权委托书。</w:t>
      </w:r>
    </w:p>
    <w:p w14:paraId="1BE83ECA">
      <w:pPr>
        <w:pStyle w:val="2"/>
        <w:overflowPunct w:val="0"/>
        <w:ind w:firstLineChars="175"/>
        <w:rPr>
          <w:rFonts w:ascii="宋体" w:hAnsi="宋体"/>
          <w:sz w:val="24"/>
        </w:rPr>
      </w:pPr>
    </w:p>
    <w:p w14:paraId="09E0AC6F">
      <w:pPr>
        <w:pStyle w:val="2"/>
        <w:overflowPunct w:val="0"/>
        <w:ind w:firstLineChars="175"/>
        <w:rPr>
          <w:rFonts w:ascii="宋体" w:hAnsi="宋体"/>
          <w:sz w:val="24"/>
        </w:rPr>
      </w:pPr>
      <w:r>
        <w:rPr>
          <w:rFonts w:hint="eastAsia" w:ascii="宋体" w:hAnsi="宋体"/>
          <w:sz w:val="24"/>
        </w:rPr>
        <w:t>联合体牵头人名称（盖公章）：</w:t>
      </w:r>
    </w:p>
    <w:p w14:paraId="6253D594">
      <w:pPr>
        <w:pStyle w:val="2"/>
        <w:overflowPunct w:val="0"/>
        <w:ind w:firstLineChars="175"/>
        <w:rPr>
          <w:rFonts w:ascii="宋体" w:hAnsi="宋体"/>
          <w:sz w:val="24"/>
        </w:rPr>
      </w:pPr>
    </w:p>
    <w:p w14:paraId="4809BD95">
      <w:pPr>
        <w:pStyle w:val="2"/>
        <w:overflowPunct w:val="0"/>
        <w:ind w:firstLineChars="175"/>
        <w:rPr>
          <w:rFonts w:ascii="宋体" w:hAnsi="宋体"/>
          <w:sz w:val="24"/>
        </w:rPr>
      </w:pPr>
      <w:r>
        <w:rPr>
          <w:rFonts w:hint="eastAsia" w:ascii="宋体" w:hAnsi="宋体"/>
          <w:sz w:val="24"/>
        </w:rPr>
        <w:t>法定代表人或者其委托代理人：</w:t>
      </w:r>
      <w:r>
        <w:rPr>
          <w:rFonts w:ascii="宋体" w:hAnsi="宋体"/>
          <w:sz w:val="24"/>
        </w:rPr>
        <w:tab/>
      </w:r>
      <w:r>
        <w:rPr>
          <w:rFonts w:hint="eastAsia" w:ascii="宋体" w:hAnsi="宋体"/>
          <w:sz w:val="24"/>
        </w:rPr>
        <w:t>（签字）</w:t>
      </w:r>
    </w:p>
    <w:p w14:paraId="236819A9">
      <w:pPr>
        <w:pStyle w:val="2"/>
        <w:overflowPunct w:val="0"/>
        <w:ind w:firstLineChars="175"/>
        <w:rPr>
          <w:rFonts w:ascii="宋体" w:hAnsi="宋体"/>
          <w:sz w:val="24"/>
        </w:rPr>
      </w:pPr>
    </w:p>
    <w:p w14:paraId="1071074C">
      <w:pPr>
        <w:pStyle w:val="2"/>
        <w:overflowPunct w:val="0"/>
        <w:ind w:firstLineChars="175"/>
        <w:rPr>
          <w:rFonts w:ascii="宋体" w:hAnsi="宋体"/>
          <w:sz w:val="24"/>
        </w:rPr>
      </w:pPr>
      <w:r>
        <w:rPr>
          <w:rFonts w:hint="eastAsia" w:ascii="宋体" w:hAnsi="宋体"/>
          <w:sz w:val="24"/>
        </w:rPr>
        <w:t>联合体成员名称（盖公章）：</w:t>
      </w:r>
    </w:p>
    <w:p w14:paraId="1879ACCF">
      <w:pPr>
        <w:pStyle w:val="2"/>
        <w:overflowPunct w:val="0"/>
        <w:ind w:firstLineChars="175"/>
        <w:rPr>
          <w:rFonts w:ascii="宋体" w:hAnsi="宋体"/>
          <w:sz w:val="24"/>
        </w:rPr>
      </w:pPr>
    </w:p>
    <w:p w14:paraId="0FEA2346">
      <w:pPr>
        <w:pStyle w:val="2"/>
        <w:overflowPunct w:val="0"/>
        <w:ind w:firstLineChars="175"/>
        <w:rPr>
          <w:rFonts w:ascii="宋体" w:hAnsi="宋体"/>
          <w:sz w:val="24"/>
        </w:rPr>
      </w:pPr>
      <w:r>
        <w:rPr>
          <w:rFonts w:hint="eastAsia" w:ascii="宋体" w:hAnsi="宋体"/>
          <w:sz w:val="24"/>
        </w:rPr>
        <w:t>法定代表人或者其委托代理人：</w:t>
      </w:r>
      <w:r>
        <w:rPr>
          <w:rFonts w:ascii="宋体" w:hAnsi="宋体"/>
          <w:sz w:val="24"/>
        </w:rPr>
        <w:tab/>
      </w:r>
      <w:r>
        <w:rPr>
          <w:rFonts w:hint="eastAsia" w:ascii="宋体" w:hAnsi="宋体"/>
          <w:sz w:val="24"/>
        </w:rPr>
        <w:t>（签字）</w:t>
      </w:r>
    </w:p>
    <w:p w14:paraId="7DC17D7D">
      <w:pPr>
        <w:pStyle w:val="2"/>
        <w:overflowPunct w:val="0"/>
        <w:ind w:firstLineChars="175"/>
        <w:rPr>
          <w:rFonts w:ascii="宋体" w:hAnsi="宋体"/>
          <w:sz w:val="24"/>
        </w:rPr>
      </w:pPr>
    </w:p>
    <w:p w14:paraId="69D99304">
      <w:pPr>
        <w:pStyle w:val="2"/>
        <w:overflowPunct w:val="0"/>
        <w:ind w:firstLineChars="175"/>
        <w:rPr>
          <w:rFonts w:ascii="宋体" w:hAnsi="宋体"/>
          <w:sz w:val="24"/>
        </w:rPr>
      </w:pPr>
      <w:r>
        <w:rPr>
          <w:rFonts w:hint="eastAsia" w:ascii="宋体" w:hAnsi="宋体"/>
          <w:sz w:val="24"/>
        </w:rPr>
        <w:t>联合体成员名称（盖公章）：</w:t>
      </w:r>
    </w:p>
    <w:p w14:paraId="52F203B4">
      <w:pPr>
        <w:pStyle w:val="2"/>
        <w:overflowPunct w:val="0"/>
        <w:ind w:firstLineChars="175"/>
        <w:rPr>
          <w:rFonts w:ascii="宋体" w:hAnsi="宋体"/>
          <w:sz w:val="24"/>
        </w:rPr>
      </w:pPr>
    </w:p>
    <w:p w14:paraId="659A6244">
      <w:pPr>
        <w:pStyle w:val="2"/>
        <w:overflowPunct w:val="0"/>
        <w:ind w:firstLineChars="175"/>
        <w:rPr>
          <w:rFonts w:ascii="宋体" w:hAnsi="宋体"/>
          <w:sz w:val="24"/>
        </w:rPr>
      </w:pPr>
      <w:r>
        <w:rPr>
          <w:rFonts w:hint="eastAsia" w:ascii="宋体" w:hAnsi="宋体"/>
          <w:sz w:val="24"/>
        </w:rPr>
        <w:t>法定代表人或者其委托代理人：</w:t>
      </w:r>
      <w:r>
        <w:rPr>
          <w:rFonts w:ascii="宋体" w:hAnsi="宋体"/>
          <w:sz w:val="24"/>
        </w:rPr>
        <w:tab/>
      </w:r>
      <w:r>
        <w:rPr>
          <w:rFonts w:hint="eastAsia" w:ascii="宋体" w:hAnsi="宋体"/>
          <w:sz w:val="24"/>
        </w:rPr>
        <w:t>（签字）</w:t>
      </w:r>
    </w:p>
    <w:p w14:paraId="7AC3DA63">
      <w:pPr>
        <w:pStyle w:val="2"/>
        <w:overflowPunct w:val="0"/>
        <w:ind w:firstLineChars="175"/>
        <w:rPr>
          <w:rFonts w:ascii="宋体" w:hAnsi="宋体"/>
          <w:sz w:val="24"/>
        </w:rPr>
      </w:pPr>
    </w:p>
    <w:p w14:paraId="027A857E">
      <w:pPr>
        <w:pStyle w:val="2"/>
        <w:overflowPunct w:val="0"/>
        <w:ind w:firstLineChars="175"/>
        <w:rPr>
          <w:rFonts w:ascii="宋体" w:hAnsi="宋体"/>
          <w:sz w:val="24"/>
        </w:rPr>
      </w:pPr>
      <w:r>
        <w:rPr>
          <w:rFonts w:ascii="宋体" w:hAnsi="宋体"/>
          <w:sz w:val="24"/>
        </w:rPr>
        <w:t>……</w:t>
      </w:r>
    </w:p>
    <w:p w14:paraId="5901C808">
      <w:pPr>
        <w:pStyle w:val="2"/>
        <w:overflowPunct w:val="0"/>
        <w:ind w:firstLineChars="175"/>
        <w:rPr>
          <w:rFonts w:ascii="宋体" w:hAnsi="宋体"/>
          <w:sz w:val="24"/>
        </w:rPr>
      </w:pPr>
    </w:p>
    <w:p w14:paraId="4202BB52">
      <w:pPr>
        <w:pStyle w:val="2"/>
        <w:overflowPunct w:val="0"/>
        <w:ind w:firstLineChars="175"/>
        <w:rPr>
          <w:rFonts w:ascii="宋体" w:hAnsi="宋体"/>
          <w:sz w:val="24"/>
        </w:rPr>
      </w:pPr>
      <w:r>
        <w:rPr>
          <w:rFonts w:ascii="宋体" w:hAnsi="宋体"/>
          <w:sz w:val="24"/>
        </w:rPr>
        <w:tab/>
      </w:r>
      <w:r>
        <w:rPr>
          <w:rFonts w:hint="eastAsia" w:ascii="宋体" w:hAnsi="宋体"/>
          <w:sz w:val="24"/>
        </w:rPr>
        <w:t>年</w:t>
      </w:r>
      <w:r>
        <w:rPr>
          <w:rFonts w:ascii="宋体" w:hAnsi="宋体"/>
          <w:sz w:val="24"/>
        </w:rPr>
        <w:tab/>
      </w:r>
      <w:r>
        <w:rPr>
          <w:rFonts w:hint="eastAsia" w:ascii="宋体" w:hAnsi="宋体"/>
          <w:sz w:val="24"/>
        </w:rPr>
        <w:t>月</w:t>
      </w:r>
      <w:r>
        <w:rPr>
          <w:rFonts w:ascii="宋体" w:hAnsi="宋体"/>
          <w:sz w:val="24"/>
        </w:rPr>
        <w:tab/>
      </w:r>
      <w:r>
        <w:rPr>
          <w:rFonts w:hint="eastAsia" w:ascii="宋体" w:hAnsi="宋体"/>
          <w:sz w:val="24"/>
        </w:rPr>
        <w:t>日</w:t>
      </w:r>
    </w:p>
    <w:p w14:paraId="1F8EDD99">
      <w:pPr>
        <w:snapToGrid w:val="0"/>
        <w:spacing w:beforeLines="50" w:after="50"/>
        <w:jc w:val="left"/>
        <w:rPr>
          <w:rFonts w:ascii="宋体" w:hAnsi="宋体"/>
          <w:b/>
          <w:sz w:val="24"/>
        </w:rPr>
      </w:pPr>
    </w:p>
    <w:p w14:paraId="4388C2B0">
      <w:pPr>
        <w:snapToGrid w:val="0"/>
        <w:spacing w:beforeLines="50" w:after="50"/>
        <w:jc w:val="left"/>
        <w:rPr>
          <w:rFonts w:ascii="宋体" w:hAnsi="宋体"/>
          <w:b/>
          <w:sz w:val="24"/>
        </w:rPr>
      </w:pPr>
    </w:p>
    <w:p w14:paraId="7D5A522C">
      <w:pPr>
        <w:snapToGrid w:val="0"/>
        <w:spacing w:beforeLines="50" w:after="50"/>
        <w:jc w:val="left"/>
      </w:pPr>
      <w:r>
        <w:rPr>
          <w:rFonts w:hint="eastAsia" w:ascii="宋体" w:hAnsi="宋体"/>
          <w:b/>
          <w:sz w:val="24"/>
        </w:rPr>
        <w:t xml:space="preserve"> 中小企业声明函格式</w:t>
      </w:r>
    </w:p>
    <w:p w14:paraId="2B2DA8D1"/>
    <w:p w14:paraId="78A51274">
      <w:pPr>
        <w:spacing w:line="588" w:lineRule="exact"/>
        <w:jc w:val="center"/>
        <w:rPr>
          <w:rFonts w:ascii="宋体" w:hAnsi="宋体"/>
          <w:b/>
          <w:spacing w:val="6"/>
          <w:sz w:val="32"/>
          <w:szCs w:val="32"/>
        </w:rPr>
      </w:pPr>
      <w:r>
        <w:rPr>
          <w:rFonts w:hint="eastAsia" w:ascii="宋体" w:hAnsi="宋体"/>
          <w:b/>
          <w:spacing w:val="6"/>
          <w:sz w:val="32"/>
          <w:szCs w:val="32"/>
        </w:rPr>
        <w:t>中小企业声明函</w:t>
      </w:r>
    </w:p>
    <w:p w14:paraId="506FB6B3">
      <w:pPr>
        <w:spacing w:line="588" w:lineRule="exact"/>
        <w:rPr>
          <w:rFonts w:ascii="仿宋_GB2312" w:eastAsia="仿宋_GB2312"/>
          <w:b/>
          <w:spacing w:val="6"/>
          <w:sz w:val="32"/>
          <w:szCs w:val="32"/>
        </w:rPr>
      </w:pPr>
    </w:p>
    <w:p w14:paraId="5DFF4E77">
      <w:pPr>
        <w:pStyle w:val="12"/>
        <w:spacing w:line="360" w:lineRule="auto"/>
        <w:ind w:left="-426" w:leftChars="-203" w:right="142" w:firstLine="480" w:firstLineChars="200"/>
        <w:contextualSpacing/>
        <w:rPr>
          <w:rFonts w:ascii="宋体" w:hAnsi="宋体"/>
          <w:kern w:val="24"/>
        </w:rPr>
      </w:pPr>
      <w:r>
        <w:rPr>
          <w:rFonts w:ascii="宋体" w:hAnsi="宋体"/>
          <w:kern w:val="24"/>
        </w:rPr>
        <w:t>本公司（联合体）郑重声明，根据《政府采购促进中小企业发展管理办法》（财库﹝2020﹞46号）的规定，本公司（联合体）参加</w:t>
      </w:r>
      <w:r>
        <w:rPr>
          <w:rFonts w:ascii="宋体" w:hAnsi="宋体"/>
          <w:kern w:val="24"/>
          <w:u w:val="single"/>
        </w:rPr>
        <w:t>（单位名称）</w:t>
      </w:r>
      <w:r>
        <w:rPr>
          <w:rFonts w:ascii="宋体" w:hAnsi="宋体"/>
          <w:kern w:val="24"/>
        </w:rPr>
        <w:t>的</w:t>
      </w:r>
      <w:r>
        <w:rPr>
          <w:rFonts w:ascii="宋体" w:hAnsi="宋体"/>
          <w:kern w:val="24"/>
          <w:u w:val="single"/>
        </w:rPr>
        <w:t>（项目名称）</w:t>
      </w:r>
      <w:r>
        <w:rPr>
          <w:rFonts w:ascii="宋体" w:hAnsi="宋体"/>
          <w:kern w:val="24"/>
        </w:rPr>
        <w:t>采购活动，提供的货物全部由符合政策要求的中小企业制造。相关企业（含联合体中的中小企业、签订分包意向协议的中小企业）的具体情况如下：</w:t>
      </w:r>
    </w:p>
    <w:p w14:paraId="04C120DD">
      <w:pPr>
        <w:tabs>
          <w:tab w:val="left" w:pos="1384"/>
          <w:tab w:val="left" w:pos="4562"/>
          <w:tab w:val="left" w:pos="6803"/>
        </w:tabs>
        <w:spacing w:line="360" w:lineRule="auto"/>
        <w:ind w:left="-426" w:right="-58" w:firstLine="655"/>
        <w:contextualSpacing/>
        <w:rPr>
          <w:rFonts w:ascii="宋体" w:hAnsi="宋体"/>
          <w:kern w:val="24"/>
          <w:sz w:val="24"/>
        </w:rPr>
      </w:pPr>
      <w:r>
        <w:rPr>
          <w:rFonts w:ascii="宋体" w:hAnsi="宋体"/>
          <w:kern w:val="24"/>
          <w:sz w:val="24"/>
        </w:rPr>
        <w:t>1.</w:t>
      </w:r>
      <w:r>
        <w:rPr>
          <w:rFonts w:ascii="宋体" w:hAnsi="宋体"/>
          <w:kern w:val="24"/>
          <w:sz w:val="24"/>
          <w:u w:val="single"/>
        </w:rPr>
        <w:t>（标的名称）</w:t>
      </w:r>
      <w:r>
        <w:rPr>
          <w:rFonts w:ascii="宋体" w:hAnsi="宋体"/>
          <w:kern w:val="24"/>
          <w:sz w:val="24"/>
        </w:rPr>
        <w:t>，属于</w:t>
      </w:r>
      <w:r>
        <w:rPr>
          <w:rFonts w:ascii="宋体" w:hAnsi="宋体"/>
          <w:kern w:val="24"/>
          <w:sz w:val="24"/>
          <w:u w:val="single"/>
        </w:rPr>
        <w:t>（采购文件中明确的所属行业）</w:t>
      </w:r>
      <w:r>
        <w:rPr>
          <w:rFonts w:ascii="宋体" w:hAnsi="宋体"/>
          <w:kern w:val="24"/>
          <w:sz w:val="24"/>
        </w:rPr>
        <w:t>行业；制造商为</w:t>
      </w:r>
      <w:r>
        <w:rPr>
          <w:rFonts w:ascii="宋体" w:hAnsi="宋体"/>
          <w:kern w:val="24"/>
          <w:sz w:val="24"/>
          <w:u w:val="single"/>
        </w:rPr>
        <w:t>（企业名称）</w:t>
      </w:r>
      <w:r>
        <w:rPr>
          <w:rFonts w:ascii="宋体" w:hAnsi="宋体"/>
          <w:kern w:val="24"/>
          <w:sz w:val="24"/>
        </w:rPr>
        <w:t>，从业人员人，营业收入为万元，资产总额为万元，属于</w:t>
      </w:r>
      <w:r>
        <w:rPr>
          <w:rFonts w:ascii="宋体" w:hAnsi="宋体"/>
          <w:kern w:val="24"/>
          <w:sz w:val="24"/>
          <w:u w:val="single"/>
        </w:rPr>
        <w:t>（中型企业、小型企业、微型企业）</w:t>
      </w:r>
      <w:r>
        <w:rPr>
          <w:rFonts w:ascii="宋体" w:hAnsi="宋体"/>
          <w:kern w:val="24"/>
          <w:sz w:val="24"/>
        </w:rPr>
        <w:t>；</w:t>
      </w:r>
    </w:p>
    <w:p w14:paraId="1EF319E0">
      <w:pPr>
        <w:tabs>
          <w:tab w:val="left" w:pos="1065"/>
          <w:tab w:val="left" w:pos="6477"/>
        </w:tabs>
        <w:spacing w:line="360" w:lineRule="auto"/>
        <w:ind w:left="-426" w:right="-58" w:firstLine="655"/>
        <w:contextualSpacing/>
        <w:rPr>
          <w:rFonts w:ascii="宋体" w:hAnsi="宋体"/>
          <w:kern w:val="24"/>
          <w:sz w:val="24"/>
        </w:rPr>
      </w:pPr>
      <w:r>
        <w:rPr>
          <w:rFonts w:ascii="宋体" w:hAnsi="宋体"/>
          <w:kern w:val="24"/>
          <w:sz w:val="24"/>
        </w:rPr>
        <w:t>2.</w:t>
      </w:r>
      <w:r>
        <w:rPr>
          <w:rFonts w:ascii="宋体" w:hAnsi="宋体"/>
          <w:kern w:val="24"/>
          <w:sz w:val="24"/>
          <w:u w:val="single"/>
        </w:rPr>
        <w:t>（标的名称）</w:t>
      </w:r>
      <w:r>
        <w:rPr>
          <w:rFonts w:ascii="宋体" w:hAnsi="宋体"/>
          <w:kern w:val="24"/>
          <w:sz w:val="24"/>
        </w:rPr>
        <w:t>，属于</w:t>
      </w:r>
      <w:r>
        <w:rPr>
          <w:rFonts w:ascii="宋体" w:hAnsi="宋体"/>
          <w:kern w:val="24"/>
          <w:sz w:val="24"/>
          <w:u w:val="single"/>
        </w:rPr>
        <w:t>（采购文件中明确的所属行业）</w:t>
      </w:r>
      <w:r>
        <w:rPr>
          <w:rFonts w:ascii="宋体" w:hAnsi="宋体"/>
          <w:kern w:val="24"/>
          <w:sz w:val="24"/>
        </w:rPr>
        <w:t>行业；制造商为</w:t>
      </w:r>
      <w:r>
        <w:rPr>
          <w:rFonts w:ascii="宋体" w:hAnsi="宋体"/>
          <w:kern w:val="24"/>
          <w:sz w:val="24"/>
          <w:u w:val="single"/>
        </w:rPr>
        <w:t>（企业名称）</w:t>
      </w:r>
      <w:r>
        <w:rPr>
          <w:rFonts w:ascii="宋体" w:hAnsi="宋体"/>
          <w:kern w:val="24"/>
          <w:sz w:val="24"/>
        </w:rPr>
        <w:t>，从业人员人，营业收入为万元，资产总额为万元，属于</w:t>
      </w:r>
      <w:r>
        <w:rPr>
          <w:rFonts w:ascii="宋体" w:hAnsi="宋体"/>
          <w:kern w:val="24"/>
          <w:sz w:val="24"/>
          <w:u w:val="single"/>
        </w:rPr>
        <w:t>（中型企业、小型企业、微型企业）</w:t>
      </w:r>
      <w:r>
        <w:rPr>
          <w:rFonts w:ascii="宋体" w:hAnsi="宋体"/>
          <w:kern w:val="24"/>
          <w:sz w:val="24"/>
        </w:rPr>
        <w:t>；</w:t>
      </w:r>
    </w:p>
    <w:p w14:paraId="60058476">
      <w:pPr>
        <w:pStyle w:val="12"/>
        <w:spacing w:line="360" w:lineRule="auto"/>
        <w:ind w:left="142" w:right="142"/>
        <w:contextualSpacing/>
        <w:rPr>
          <w:rFonts w:ascii="宋体" w:hAnsi="宋体"/>
          <w:kern w:val="24"/>
        </w:rPr>
      </w:pPr>
      <w:r>
        <w:rPr>
          <w:rFonts w:ascii="宋体" w:hAnsi="宋体"/>
          <w:kern w:val="24"/>
        </w:rPr>
        <w:t xml:space="preserve">…… </w:t>
      </w:r>
    </w:p>
    <w:p w14:paraId="59EE5B49">
      <w:pPr>
        <w:pStyle w:val="12"/>
        <w:spacing w:line="360" w:lineRule="auto"/>
        <w:ind w:left="-405" w:leftChars="-193" w:right="142" w:firstLine="453" w:firstLineChars="189"/>
        <w:contextualSpacing/>
        <w:rPr>
          <w:rFonts w:ascii="宋体" w:hAnsi="宋体"/>
          <w:kern w:val="24"/>
        </w:rPr>
      </w:pPr>
      <w:r>
        <w:rPr>
          <w:rFonts w:ascii="宋体" w:hAnsi="宋体"/>
          <w:kern w:val="24"/>
        </w:rPr>
        <w:t>以上企业，不属于大企业的分支机构，不存在控股股东为大企业的情形，也不存在与大企业的负责人为同一人的情形。</w:t>
      </w:r>
    </w:p>
    <w:p w14:paraId="2A53515D">
      <w:pPr>
        <w:spacing w:line="588" w:lineRule="exact"/>
        <w:rPr>
          <w:rFonts w:ascii="宋体" w:hAnsi="宋体"/>
          <w:kern w:val="24"/>
          <w:sz w:val="24"/>
        </w:rPr>
      </w:pPr>
      <w:r>
        <w:rPr>
          <w:rFonts w:ascii="宋体" w:hAnsi="宋体"/>
          <w:kern w:val="24"/>
          <w:sz w:val="24"/>
        </w:rPr>
        <w:t>本企业对上述声明内容的真实性负责。如有虚假，将依法承担相应责任。</w:t>
      </w:r>
    </w:p>
    <w:p w14:paraId="26A40576">
      <w:pPr>
        <w:spacing w:line="588" w:lineRule="exact"/>
        <w:ind w:firstLine="504" w:firstLineChars="200"/>
        <w:rPr>
          <w:rFonts w:ascii="宋体" w:hAnsi="宋体"/>
          <w:spacing w:val="6"/>
          <w:sz w:val="24"/>
        </w:rPr>
      </w:pPr>
    </w:p>
    <w:p w14:paraId="37EB0C18">
      <w:pPr>
        <w:spacing w:line="588" w:lineRule="exact"/>
        <w:ind w:firstLine="504" w:firstLineChars="200"/>
        <w:rPr>
          <w:rFonts w:ascii="宋体" w:hAnsi="宋体"/>
          <w:spacing w:val="6"/>
          <w:sz w:val="24"/>
        </w:rPr>
      </w:pPr>
    </w:p>
    <w:p w14:paraId="2A385A5E">
      <w:pPr>
        <w:snapToGrid w:val="0"/>
        <w:spacing w:before="50" w:after="50" w:line="480" w:lineRule="auto"/>
        <w:ind w:left="-6" w:leftChars="-15" w:right="-817" w:rightChars="-389" w:hanging="25" w:hangingChars="12"/>
        <w:jc w:val="left"/>
        <w:rPr>
          <w:rFonts w:ascii="宋体" w:hAnsi="宋体"/>
          <w:b/>
          <w:bCs/>
          <w:szCs w:val="21"/>
        </w:rPr>
      </w:pPr>
      <w:r>
        <w:rPr>
          <w:rFonts w:hint="eastAsia" w:ascii="宋体" w:hAnsi="宋体"/>
          <w:b/>
          <w:bCs/>
          <w:szCs w:val="21"/>
        </w:rPr>
        <w:t>投标人(公章或电子签章)：</w:t>
      </w:r>
    </w:p>
    <w:p w14:paraId="6EE8BC33">
      <w:pPr>
        <w:snapToGrid w:val="0"/>
        <w:spacing w:before="50" w:after="50" w:line="480" w:lineRule="auto"/>
        <w:ind w:left="-6" w:leftChars="-15" w:right="-817" w:rightChars="-389" w:hanging="25" w:hangingChars="12"/>
        <w:jc w:val="left"/>
        <w:rPr>
          <w:rFonts w:ascii="宋体" w:hAnsi="宋体"/>
          <w:sz w:val="20"/>
          <w:szCs w:val="22"/>
        </w:rPr>
      </w:pPr>
      <w:r>
        <w:rPr>
          <w:rFonts w:hint="eastAsia" w:ascii="宋体" w:hAnsi="宋体"/>
          <w:b/>
          <w:bCs/>
          <w:szCs w:val="21"/>
        </w:rPr>
        <w:t>日期：    年   月   日</w:t>
      </w:r>
    </w:p>
    <w:p w14:paraId="6B8B8786">
      <w:pPr>
        <w:snapToGrid w:val="0"/>
        <w:spacing w:beforeLines="50" w:line="480" w:lineRule="auto"/>
        <w:rPr>
          <w:rFonts w:ascii="宋体" w:hAnsi="宋体"/>
          <w:szCs w:val="16"/>
        </w:rPr>
      </w:pPr>
    </w:p>
    <w:p w14:paraId="698111D6">
      <w:pPr>
        <w:rPr>
          <w:rFonts w:ascii="宋体" w:hAnsi="宋体"/>
          <w:sz w:val="24"/>
        </w:rPr>
      </w:pPr>
    </w:p>
    <w:p w14:paraId="61C7C823">
      <w:pPr>
        <w:rPr>
          <w:rFonts w:ascii="宋体" w:hAnsi="宋体"/>
          <w:sz w:val="24"/>
        </w:rPr>
      </w:pPr>
    </w:p>
    <w:p w14:paraId="3C03271A">
      <w:r>
        <w:rPr>
          <w:rFonts w:hint="eastAsia" w:ascii="宋体" w:hAnsi="宋体"/>
          <w:sz w:val="24"/>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r>
        <w:br w:type="page"/>
      </w:r>
    </w:p>
    <w:p w14:paraId="7E13EA34">
      <w:pPr>
        <w:snapToGrid w:val="0"/>
        <w:spacing w:beforeLines="50" w:after="50"/>
        <w:ind w:left="142"/>
        <w:jc w:val="left"/>
        <w:rPr>
          <w:rFonts w:ascii="宋体" w:hAnsi="宋体"/>
          <w:b/>
          <w:sz w:val="24"/>
        </w:rPr>
      </w:pPr>
      <w:r>
        <w:rPr>
          <w:rFonts w:hint="eastAsia" w:ascii="宋体" w:hAnsi="宋体"/>
          <w:b/>
          <w:sz w:val="24"/>
        </w:rPr>
        <w:t>残疾人福利性单位声明函格式</w:t>
      </w:r>
    </w:p>
    <w:p w14:paraId="6D1EF47B">
      <w:pPr>
        <w:spacing w:line="588" w:lineRule="exact"/>
        <w:jc w:val="center"/>
        <w:rPr>
          <w:rFonts w:ascii="仿宋_GB2312" w:eastAsia="仿宋_GB2312"/>
          <w:b/>
          <w:spacing w:val="6"/>
          <w:sz w:val="32"/>
          <w:szCs w:val="32"/>
        </w:rPr>
      </w:pPr>
      <w:bookmarkStart w:id="169" w:name="OLE_LINK13"/>
      <w:bookmarkStart w:id="170" w:name="OLE_LINK14"/>
    </w:p>
    <w:p w14:paraId="1B7D68D7">
      <w:pPr>
        <w:spacing w:line="588" w:lineRule="exact"/>
        <w:jc w:val="center"/>
        <w:rPr>
          <w:rFonts w:ascii="宋体" w:hAnsi="宋体"/>
          <w:b/>
          <w:spacing w:val="6"/>
          <w:sz w:val="32"/>
          <w:szCs w:val="32"/>
        </w:rPr>
      </w:pPr>
      <w:r>
        <w:rPr>
          <w:rFonts w:hint="eastAsia" w:ascii="宋体" w:hAnsi="宋体"/>
          <w:b/>
          <w:spacing w:val="6"/>
          <w:sz w:val="32"/>
          <w:szCs w:val="32"/>
        </w:rPr>
        <w:t>残疾人福利性单位声明函</w:t>
      </w:r>
    </w:p>
    <w:bookmarkEnd w:id="169"/>
    <w:bookmarkEnd w:id="170"/>
    <w:p w14:paraId="4F075918">
      <w:pPr>
        <w:spacing w:line="588" w:lineRule="exact"/>
        <w:rPr>
          <w:rFonts w:ascii="仿宋_GB2312" w:eastAsia="仿宋_GB2312"/>
          <w:b/>
          <w:spacing w:val="6"/>
          <w:sz w:val="30"/>
          <w:szCs w:val="30"/>
        </w:rPr>
      </w:pPr>
    </w:p>
    <w:p w14:paraId="27BBEB25">
      <w:pPr>
        <w:spacing w:line="588" w:lineRule="exact"/>
        <w:ind w:firstLine="504" w:firstLineChars="200"/>
        <w:rPr>
          <w:rFonts w:ascii="宋体" w:hAnsi="宋体"/>
          <w:spacing w:val="6"/>
          <w:sz w:val="24"/>
        </w:rPr>
      </w:pPr>
      <w:r>
        <w:rPr>
          <w:rFonts w:hint="eastAsia" w:ascii="宋体" w:hAnsi="宋体"/>
          <w:spacing w:val="6"/>
          <w:sz w:val="24"/>
        </w:rPr>
        <w:t>本单位郑重声明，根据《财政部 民政部 中国残疾人联合会关于促进残疾人就业政府采购政策的通知》（财库</w:t>
      </w:r>
      <w:r>
        <w:rPr>
          <w:rFonts w:hint="eastAsia" w:ascii="宋体" w:hAnsi="宋体"/>
          <w:sz w:val="24"/>
        </w:rPr>
        <w:t>〔2017〕 141</w:t>
      </w:r>
      <w:r>
        <w:rPr>
          <w:rFonts w:hint="eastAsia" w:ascii="宋体" w:hAnsi="宋体"/>
          <w:spacing w:val="6"/>
          <w:sz w:val="24"/>
        </w:rPr>
        <w:t>号）的规定，本单位为符合条件的残疾人福利性单位，且本单位参加______单位的______项目采购活动提供本单位制造的货物（由本单位承担工程/提供服务），或者提供其他残</w:t>
      </w:r>
      <w:r>
        <w:rPr>
          <w:rFonts w:hint="eastAsia" w:ascii="宋体" w:hAnsi="宋体"/>
          <w:spacing w:val="-6"/>
          <w:sz w:val="24"/>
        </w:rPr>
        <w:t>疾人福利性单位制造的货物（不包括使用非残疾人福利性单位注册商标的货物）。</w:t>
      </w:r>
    </w:p>
    <w:p w14:paraId="646CF224">
      <w:pPr>
        <w:spacing w:line="588" w:lineRule="exact"/>
        <w:ind w:firstLine="504" w:firstLineChars="200"/>
        <w:rPr>
          <w:rFonts w:ascii="宋体" w:hAnsi="宋体"/>
          <w:spacing w:val="6"/>
          <w:sz w:val="24"/>
        </w:rPr>
      </w:pPr>
      <w:r>
        <w:rPr>
          <w:rFonts w:hint="eastAsia" w:ascii="宋体" w:hAnsi="宋体"/>
          <w:spacing w:val="6"/>
          <w:sz w:val="24"/>
        </w:rPr>
        <w:t>本单位对上述声明的真实性负责。如有虚假，将依法承担相应责任。</w:t>
      </w:r>
    </w:p>
    <w:p w14:paraId="6B58A760">
      <w:pPr>
        <w:spacing w:line="588" w:lineRule="exact"/>
        <w:ind w:firstLine="504" w:firstLineChars="200"/>
        <w:rPr>
          <w:rFonts w:ascii="宋体" w:hAnsi="宋体"/>
          <w:spacing w:val="6"/>
          <w:sz w:val="24"/>
        </w:rPr>
      </w:pPr>
    </w:p>
    <w:p w14:paraId="54BB3789">
      <w:pPr>
        <w:spacing w:line="588" w:lineRule="exact"/>
        <w:ind w:firstLine="504" w:firstLineChars="200"/>
        <w:rPr>
          <w:rFonts w:ascii="宋体" w:hAnsi="宋体"/>
          <w:spacing w:val="6"/>
          <w:sz w:val="24"/>
        </w:rPr>
      </w:pPr>
    </w:p>
    <w:p w14:paraId="2C7D32FB">
      <w:pPr>
        <w:snapToGrid w:val="0"/>
        <w:spacing w:before="50" w:after="50" w:line="480" w:lineRule="auto"/>
        <w:ind w:left="-6" w:leftChars="-15" w:right="-817" w:rightChars="-389" w:hanging="25" w:hangingChars="12"/>
        <w:jc w:val="left"/>
        <w:rPr>
          <w:rFonts w:ascii="宋体" w:hAnsi="宋体"/>
          <w:b/>
          <w:bCs/>
          <w:szCs w:val="21"/>
        </w:rPr>
      </w:pPr>
      <w:r>
        <w:rPr>
          <w:rFonts w:hint="eastAsia" w:ascii="宋体" w:hAnsi="宋体"/>
          <w:b/>
          <w:bCs/>
          <w:szCs w:val="21"/>
        </w:rPr>
        <w:t>投标人(公章或电子签章)：</w:t>
      </w:r>
    </w:p>
    <w:p w14:paraId="49D763CC">
      <w:pPr>
        <w:snapToGrid w:val="0"/>
        <w:spacing w:before="50" w:after="50" w:line="480" w:lineRule="auto"/>
        <w:ind w:left="-6" w:leftChars="-15" w:right="-817" w:rightChars="-389" w:hanging="25" w:hangingChars="12"/>
        <w:jc w:val="left"/>
        <w:rPr>
          <w:rFonts w:ascii="宋体" w:hAnsi="宋体"/>
          <w:sz w:val="20"/>
          <w:szCs w:val="22"/>
        </w:rPr>
      </w:pPr>
      <w:r>
        <w:rPr>
          <w:rFonts w:hint="eastAsia" w:ascii="宋体" w:hAnsi="宋体"/>
          <w:b/>
          <w:bCs/>
          <w:szCs w:val="21"/>
        </w:rPr>
        <w:t>日期：    年   月   日</w:t>
      </w:r>
    </w:p>
    <w:p w14:paraId="2532384F">
      <w:pPr>
        <w:snapToGrid w:val="0"/>
        <w:spacing w:beforeLines="50" w:line="480" w:lineRule="auto"/>
        <w:rPr>
          <w:rFonts w:ascii="宋体" w:hAnsi="宋体"/>
          <w:szCs w:val="16"/>
        </w:rPr>
      </w:pPr>
    </w:p>
    <w:p w14:paraId="227FA0AB">
      <w:pPr>
        <w:rPr>
          <w:rFonts w:ascii="宋体" w:hAnsi="宋体"/>
          <w:sz w:val="24"/>
        </w:rPr>
      </w:pPr>
    </w:p>
    <w:p w14:paraId="0D8C275A">
      <w:pPr>
        <w:rPr>
          <w:rFonts w:ascii="宋体" w:hAnsi="宋体"/>
          <w:sz w:val="24"/>
        </w:rPr>
      </w:pPr>
    </w:p>
    <w:p w14:paraId="7FBC68FB">
      <w:pPr>
        <w:rPr>
          <w:rFonts w:ascii="宋体" w:hAnsi="宋体"/>
          <w:sz w:val="24"/>
        </w:rPr>
      </w:pPr>
    </w:p>
    <w:p w14:paraId="54BCF270">
      <w:pPr>
        <w:rPr>
          <w:rFonts w:ascii="宋体" w:hAnsi="宋体"/>
          <w:sz w:val="24"/>
        </w:rPr>
      </w:pPr>
      <w:r>
        <w:rPr>
          <w:rFonts w:hint="eastAsia" w:ascii="宋体" w:hAnsi="宋体"/>
          <w:sz w:val="24"/>
        </w:rPr>
        <w:t>注：请根据自己的真实情况出具《残疾人福利性单位声明函》。依法享受中小企业优惠政策的，采购人或者采购代理机构在公告中标结果时，同时公告其《残疾人福利性单位声明函》，接受社会监督。</w:t>
      </w:r>
    </w:p>
    <w:p w14:paraId="71B5EC91">
      <w:pPr>
        <w:rPr>
          <w:rFonts w:ascii="宋体" w:hAnsi="宋体"/>
          <w:sz w:val="24"/>
        </w:rPr>
      </w:pPr>
      <w:r>
        <w:rPr>
          <w:rFonts w:hint="eastAsia" w:ascii="宋体" w:hAnsi="宋体"/>
          <w:sz w:val="24"/>
        </w:rPr>
        <w:br w:type="page"/>
      </w:r>
    </w:p>
    <w:p w14:paraId="70DDA31A">
      <w:pPr>
        <w:spacing w:line="360" w:lineRule="auto"/>
        <w:jc w:val="left"/>
        <w:rPr>
          <w:rFonts w:ascii="宋体" w:hAnsi="宋体"/>
          <w:b/>
          <w:sz w:val="24"/>
        </w:rPr>
      </w:pPr>
      <w:r>
        <w:rPr>
          <w:rFonts w:hint="eastAsia" w:ascii="宋体" w:hAnsi="宋体"/>
          <w:b/>
          <w:sz w:val="24"/>
        </w:rPr>
        <w:t xml:space="preserve"> 关于符合本国产品标准的声明函格式</w:t>
      </w:r>
    </w:p>
    <w:p w14:paraId="1CB0C064">
      <w:pPr>
        <w:spacing w:beforeLines="150" w:afterLines="100" w:line="360" w:lineRule="auto"/>
        <w:jc w:val="center"/>
        <w:rPr>
          <w:rFonts w:ascii="仿宋" w:hAnsi="仿宋" w:eastAsia="仿宋" w:cs="仿宋"/>
          <w:b/>
          <w:bCs/>
          <w:sz w:val="24"/>
        </w:rPr>
      </w:pPr>
      <w:r>
        <w:rPr>
          <w:rFonts w:hint="eastAsia" w:ascii="宋体" w:hAnsi="宋体"/>
          <w:b/>
          <w:spacing w:val="6"/>
          <w:sz w:val="32"/>
          <w:szCs w:val="32"/>
        </w:rPr>
        <w:t>关于符合本国产品标准的声明函</w:t>
      </w:r>
    </w:p>
    <w:p w14:paraId="0BF92BE9">
      <w:pPr>
        <w:spacing w:line="460" w:lineRule="exact"/>
        <w:ind w:firstLine="504" w:firstLineChars="200"/>
        <w:rPr>
          <w:rFonts w:ascii="宋体" w:hAnsi="宋体" w:cs="宋体"/>
          <w:spacing w:val="6"/>
          <w:sz w:val="24"/>
        </w:rPr>
      </w:pPr>
      <w:r>
        <w:rPr>
          <w:rFonts w:hint="eastAsia" w:ascii="宋体" w:hAnsi="宋体" w:cs="宋体"/>
          <w:spacing w:val="6"/>
          <w:sz w:val="24"/>
        </w:rPr>
        <w:t>本公司</w:t>
      </w:r>
      <w:r>
        <w:rPr>
          <w:rFonts w:hint="eastAsia" w:ascii="宋体" w:hAnsi="宋体" w:cs="宋体"/>
          <w:spacing w:val="6"/>
          <w:sz w:val="24"/>
          <w:u w:val="single"/>
        </w:rPr>
        <w:t xml:space="preserve">             （单位名称）</w:t>
      </w:r>
      <w:r>
        <w:rPr>
          <w:rFonts w:hint="eastAsia" w:ascii="宋体" w:hAnsi="宋体" w:cs="宋体"/>
          <w:spacing w:val="6"/>
          <w:sz w:val="24"/>
        </w:rPr>
        <w:t>郑重声明，根据《国务院办公厅关于在政府采购中实施本国产品标准及相关政策的通知》（国办发[2025]34号）的规定，本公司（单位）提供的以下产品属于本国产品。具体情况如下:</w:t>
      </w:r>
    </w:p>
    <w:p w14:paraId="473BC94D">
      <w:pPr>
        <w:spacing w:line="460" w:lineRule="exact"/>
        <w:ind w:left="210" w:leftChars="100" w:firstLine="252" w:firstLineChars="100"/>
        <w:rPr>
          <w:rFonts w:ascii="宋体" w:hAnsi="宋体" w:cs="宋体"/>
          <w:spacing w:val="6"/>
          <w:sz w:val="24"/>
        </w:rPr>
      </w:pPr>
      <w:r>
        <w:rPr>
          <w:rFonts w:hint="eastAsia" w:ascii="宋体" w:hAnsi="宋体" w:cs="宋体"/>
          <w:spacing w:val="6"/>
          <w:sz w:val="24"/>
        </w:rPr>
        <w:t>1.</w:t>
      </w:r>
      <w:r>
        <w:rPr>
          <w:rFonts w:hint="eastAsia" w:ascii="宋体" w:hAnsi="宋体" w:cs="宋体"/>
          <w:spacing w:val="6"/>
          <w:sz w:val="24"/>
          <w:u w:val="single"/>
        </w:rPr>
        <w:t xml:space="preserve">       （产品名称1）</w:t>
      </w:r>
      <w:r>
        <w:rPr>
          <w:rFonts w:hint="eastAsia" w:ascii="宋体" w:hAnsi="宋体" w:cs="宋体"/>
          <w:spacing w:val="6"/>
          <w:sz w:val="24"/>
        </w:rPr>
        <w:t>，生产厂为</w:t>
      </w:r>
      <w:r>
        <w:rPr>
          <w:rFonts w:hint="eastAsia" w:ascii="宋体" w:hAnsi="宋体" w:cs="宋体"/>
          <w:spacing w:val="6"/>
          <w:sz w:val="24"/>
          <w:u w:val="single"/>
        </w:rPr>
        <w:t xml:space="preserve">          （厂名） </w:t>
      </w:r>
      <w:r>
        <w:rPr>
          <w:rFonts w:hint="eastAsia" w:ascii="宋体" w:hAnsi="宋体" w:cs="宋体"/>
          <w:spacing w:val="6"/>
          <w:sz w:val="24"/>
        </w:rPr>
        <w:t xml:space="preserve">，厂址为 </w:t>
      </w:r>
      <w:r>
        <w:rPr>
          <w:rFonts w:hint="eastAsia" w:ascii="宋体" w:hAnsi="宋体" w:cs="宋体"/>
          <w:spacing w:val="6"/>
          <w:sz w:val="24"/>
          <w:u w:val="single"/>
        </w:rPr>
        <w:t xml:space="preserve">    （生产厂址）</w:t>
      </w:r>
      <w:r>
        <w:rPr>
          <w:rFonts w:hint="eastAsia" w:ascii="宋体" w:hAnsi="宋体" w:cs="宋体"/>
          <w:spacing w:val="6"/>
          <w:sz w:val="24"/>
        </w:rPr>
        <w:t>。</w:t>
      </w:r>
      <w:r>
        <w:rPr>
          <w:rFonts w:hint="eastAsia" w:ascii="宋体" w:hAnsi="宋体" w:cs="宋体"/>
          <w:spacing w:val="6"/>
          <w:sz w:val="24"/>
          <w:u w:val="single"/>
        </w:rPr>
        <w:t xml:space="preserve">     （产品名称1）</w:t>
      </w:r>
      <w:r>
        <w:rPr>
          <w:rFonts w:hint="eastAsia" w:ascii="宋体" w:hAnsi="宋体" w:cs="宋体"/>
          <w:spacing w:val="6"/>
          <w:sz w:val="24"/>
        </w:rPr>
        <w:t>的中国境内生产的组件成本占比≥</w:t>
      </w:r>
      <w:r>
        <w:rPr>
          <w:rFonts w:hint="eastAsia" w:ascii="宋体" w:hAnsi="宋体" w:cs="宋体"/>
          <w:spacing w:val="6"/>
          <w:sz w:val="24"/>
          <w:u w:val="single"/>
        </w:rPr>
        <w:t>（规定比例）</w:t>
      </w:r>
      <w:r>
        <w:rPr>
          <w:rFonts w:hint="eastAsia" w:ascii="宋体" w:hAnsi="宋体" w:cs="宋体"/>
          <w:spacing w:val="6"/>
          <w:sz w:val="24"/>
        </w:rPr>
        <w:t>。</w:t>
      </w:r>
      <w:r>
        <w:rPr>
          <w:rFonts w:hint="eastAsia" w:ascii="宋体" w:hAnsi="宋体" w:cs="宋体"/>
          <w:spacing w:val="6"/>
          <w:sz w:val="24"/>
          <w:u w:val="single"/>
        </w:rPr>
        <w:t xml:space="preserve">     （产品名称1）</w:t>
      </w:r>
      <w:r>
        <w:rPr>
          <w:rFonts w:hint="eastAsia" w:ascii="宋体" w:hAnsi="宋体" w:cs="宋体"/>
          <w:spacing w:val="6"/>
          <w:sz w:val="24"/>
        </w:rPr>
        <w:t>的</w:t>
      </w:r>
      <w:r>
        <w:rPr>
          <w:rFonts w:hint="eastAsia" w:ascii="宋体" w:hAnsi="宋体" w:cs="宋体"/>
          <w:spacing w:val="6"/>
          <w:sz w:val="24"/>
          <w:u w:val="single"/>
        </w:rPr>
        <w:t>（关键组件）</w:t>
      </w:r>
      <w:r>
        <w:rPr>
          <w:rFonts w:hint="eastAsia" w:ascii="宋体" w:hAnsi="宋体" w:cs="宋体"/>
          <w:spacing w:val="6"/>
          <w:sz w:val="24"/>
        </w:rPr>
        <w:t>在中国境内生产。</w:t>
      </w:r>
      <w:r>
        <w:rPr>
          <w:rFonts w:hint="eastAsia" w:ascii="宋体" w:hAnsi="宋体" w:cs="宋体"/>
          <w:spacing w:val="6"/>
          <w:sz w:val="24"/>
          <w:u w:val="single"/>
        </w:rPr>
        <w:t xml:space="preserve">   （产品名称1）</w:t>
      </w:r>
      <w:r>
        <w:rPr>
          <w:rFonts w:hint="eastAsia" w:ascii="宋体" w:hAnsi="宋体" w:cs="宋体"/>
          <w:spacing w:val="6"/>
          <w:sz w:val="24"/>
        </w:rPr>
        <w:t>的</w:t>
      </w:r>
      <w:r>
        <w:rPr>
          <w:rFonts w:hint="eastAsia" w:ascii="宋体" w:hAnsi="宋体" w:cs="宋体"/>
          <w:spacing w:val="6"/>
          <w:sz w:val="24"/>
          <w:u w:val="single"/>
        </w:rPr>
        <w:t>（关键工序）</w:t>
      </w:r>
      <w:r>
        <w:rPr>
          <w:rFonts w:hint="eastAsia" w:ascii="宋体" w:hAnsi="宋体" w:cs="宋体"/>
          <w:spacing w:val="6"/>
          <w:sz w:val="24"/>
        </w:rPr>
        <w:t>在中国境内完成。</w:t>
      </w:r>
    </w:p>
    <w:p w14:paraId="11DC814D">
      <w:pPr>
        <w:spacing w:line="460" w:lineRule="exact"/>
        <w:ind w:firstLine="504" w:firstLineChars="200"/>
        <w:rPr>
          <w:rFonts w:ascii="宋体" w:hAnsi="宋体" w:cs="宋体"/>
          <w:sz w:val="24"/>
        </w:rPr>
      </w:pPr>
      <w:r>
        <w:rPr>
          <w:rFonts w:hint="eastAsia" w:ascii="宋体" w:hAnsi="宋体" w:cs="宋体"/>
          <w:spacing w:val="6"/>
          <w:sz w:val="24"/>
        </w:rPr>
        <w:t>2.</w:t>
      </w:r>
      <w:r>
        <w:rPr>
          <w:rFonts w:hint="eastAsia" w:ascii="宋体" w:hAnsi="宋体" w:cs="宋体"/>
          <w:spacing w:val="6"/>
          <w:sz w:val="24"/>
          <w:u w:val="single"/>
        </w:rPr>
        <w:t xml:space="preserve">       （产品名称2）</w:t>
      </w:r>
      <w:r>
        <w:rPr>
          <w:rFonts w:hint="eastAsia" w:ascii="宋体" w:hAnsi="宋体" w:cs="宋体"/>
          <w:spacing w:val="6"/>
          <w:sz w:val="24"/>
        </w:rPr>
        <w:t>，生产厂为</w:t>
      </w:r>
      <w:r>
        <w:rPr>
          <w:rFonts w:hint="eastAsia" w:ascii="宋体" w:hAnsi="宋体" w:cs="宋体"/>
          <w:spacing w:val="6"/>
          <w:sz w:val="24"/>
          <w:u w:val="single"/>
        </w:rPr>
        <w:t xml:space="preserve">          （厂名） </w:t>
      </w:r>
      <w:r>
        <w:rPr>
          <w:rFonts w:hint="eastAsia" w:ascii="宋体" w:hAnsi="宋体" w:cs="宋体"/>
          <w:spacing w:val="6"/>
          <w:sz w:val="24"/>
        </w:rPr>
        <w:t xml:space="preserve">，厂址为 </w:t>
      </w:r>
      <w:r>
        <w:rPr>
          <w:rFonts w:hint="eastAsia" w:ascii="宋体" w:hAnsi="宋体" w:cs="宋体"/>
          <w:spacing w:val="6"/>
          <w:sz w:val="24"/>
          <w:u w:val="single"/>
        </w:rPr>
        <w:t xml:space="preserve">    （生产厂址）</w:t>
      </w:r>
      <w:r>
        <w:rPr>
          <w:rFonts w:hint="eastAsia" w:ascii="宋体" w:hAnsi="宋体" w:cs="宋体"/>
          <w:spacing w:val="6"/>
          <w:sz w:val="24"/>
        </w:rPr>
        <w:t>。</w:t>
      </w:r>
      <w:r>
        <w:rPr>
          <w:rFonts w:hint="eastAsia" w:ascii="宋体" w:hAnsi="宋体" w:cs="宋体"/>
          <w:spacing w:val="6"/>
          <w:sz w:val="24"/>
          <w:u w:val="single"/>
        </w:rPr>
        <w:t xml:space="preserve">        （产品名称2）</w:t>
      </w:r>
      <w:r>
        <w:rPr>
          <w:rFonts w:hint="eastAsia" w:ascii="宋体" w:hAnsi="宋体" w:cs="宋体"/>
          <w:spacing w:val="6"/>
          <w:sz w:val="24"/>
        </w:rPr>
        <w:t>的中国境内生产的组件成本占比≥</w:t>
      </w:r>
      <w:r>
        <w:rPr>
          <w:rFonts w:hint="eastAsia" w:ascii="宋体" w:hAnsi="宋体" w:cs="宋体"/>
          <w:spacing w:val="6"/>
          <w:sz w:val="24"/>
          <w:u w:val="single"/>
        </w:rPr>
        <w:t>（规定比例）</w:t>
      </w:r>
      <w:r>
        <w:rPr>
          <w:rFonts w:hint="eastAsia" w:ascii="宋体" w:hAnsi="宋体" w:cs="宋体"/>
          <w:spacing w:val="6"/>
          <w:sz w:val="24"/>
        </w:rPr>
        <w:t>。</w:t>
      </w:r>
      <w:r>
        <w:rPr>
          <w:rFonts w:hint="eastAsia" w:ascii="宋体" w:hAnsi="宋体" w:cs="宋体"/>
          <w:spacing w:val="6"/>
          <w:sz w:val="24"/>
          <w:u w:val="single"/>
        </w:rPr>
        <w:t xml:space="preserve">        （产品名称2）</w:t>
      </w:r>
      <w:r>
        <w:rPr>
          <w:rFonts w:hint="eastAsia" w:ascii="宋体" w:hAnsi="宋体" w:cs="宋体"/>
          <w:spacing w:val="6"/>
          <w:sz w:val="24"/>
        </w:rPr>
        <w:t>的</w:t>
      </w:r>
      <w:r>
        <w:rPr>
          <w:rFonts w:hint="eastAsia" w:ascii="宋体" w:hAnsi="宋体" w:cs="宋体"/>
          <w:spacing w:val="6"/>
          <w:sz w:val="24"/>
          <w:u w:val="single"/>
        </w:rPr>
        <w:t>（关键组件）</w:t>
      </w:r>
      <w:r>
        <w:rPr>
          <w:rFonts w:hint="eastAsia" w:ascii="宋体" w:hAnsi="宋体" w:cs="宋体"/>
          <w:spacing w:val="6"/>
          <w:sz w:val="24"/>
        </w:rPr>
        <w:t>在中国境内生产。</w:t>
      </w:r>
      <w:r>
        <w:rPr>
          <w:rFonts w:hint="eastAsia" w:ascii="宋体" w:hAnsi="宋体" w:cs="宋体"/>
          <w:spacing w:val="6"/>
          <w:sz w:val="24"/>
          <w:u w:val="single"/>
        </w:rPr>
        <w:t xml:space="preserve">        （产品名称2）</w:t>
      </w:r>
      <w:r>
        <w:rPr>
          <w:rFonts w:hint="eastAsia" w:ascii="宋体" w:hAnsi="宋体" w:cs="宋体"/>
          <w:spacing w:val="6"/>
          <w:sz w:val="24"/>
        </w:rPr>
        <w:t>的</w:t>
      </w:r>
      <w:r>
        <w:rPr>
          <w:rFonts w:hint="eastAsia" w:ascii="宋体" w:hAnsi="宋体" w:cs="宋体"/>
          <w:spacing w:val="6"/>
          <w:sz w:val="24"/>
          <w:u w:val="single"/>
        </w:rPr>
        <w:t>（关键工序）</w:t>
      </w:r>
      <w:r>
        <w:rPr>
          <w:rFonts w:hint="eastAsia" w:ascii="宋体" w:hAnsi="宋体" w:cs="宋体"/>
          <w:spacing w:val="6"/>
          <w:sz w:val="24"/>
        </w:rPr>
        <w:t>在中国境内完成。</w:t>
      </w:r>
    </w:p>
    <w:p w14:paraId="797A08FC">
      <w:pPr>
        <w:spacing w:line="460" w:lineRule="exact"/>
        <w:rPr>
          <w:rFonts w:ascii="宋体" w:hAnsi="宋体" w:cs="宋体"/>
          <w:sz w:val="24"/>
        </w:rPr>
      </w:pPr>
      <w:r>
        <w:rPr>
          <w:rFonts w:hint="eastAsia" w:ascii="宋体" w:hAnsi="宋体" w:cs="宋体"/>
          <w:sz w:val="24"/>
        </w:rPr>
        <w:t>......</w:t>
      </w:r>
    </w:p>
    <w:p w14:paraId="782D5226">
      <w:pPr>
        <w:spacing w:line="460" w:lineRule="exact"/>
        <w:ind w:firstLine="480" w:firstLineChars="200"/>
        <w:rPr>
          <w:rFonts w:ascii="宋体" w:hAnsi="宋体" w:cs="宋体"/>
          <w:sz w:val="24"/>
        </w:rPr>
      </w:pPr>
      <w:r>
        <w:rPr>
          <w:rFonts w:hint="eastAsia" w:ascii="宋体" w:hAnsi="宋体" w:cs="宋体"/>
          <w:sz w:val="24"/>
        </w:rPr>
        <w:t>本公司（单位）对上述声明内容的真实性负责。如有虚假，愿承担相应法律责任。</w:t>
      </w:r>
    </w:p>
    <w:p w14:paraId="67F5AED0">
      <w:pPr>
        <w:rPr>
          <w:rFonts w:ascii="宋体" w:hAnsi="宋体" w:cs="宋体"/>
          <w:sz w:val="24"/>
        </w:rPr>
      </w:pPr>
    </w:p>
    <w:p w14:paraId="1660F30E">
      <w:pPr>
        <w:rPr>
          <w:rFonts w:ascii="宋体" w:hAnsi="宋体" w:cs="宋体"/>
          <w:sz w:val="24"/>
        </w:rPr>
      </w:pPr>
    </w:p>
    <w:p w14:paraId="7EA4EADB">
      <w:pPr>
        <w:pStyle w:val="22"/>
        <w:spacing w:line="360" w:lineRule="auto"/>
        <w:jc w:val="center"/>
        <w:rPr>
          <w:rFonts w:cs="宋体"/>
          <w:b/>
          <w:sz w:val="21"/>
          <w:szCs w:val="21"/>
        </w:rPr>
      </w:pPr>
      <w:r>
        <w:rPr>
          <w:rFonts w:hint="eastAsia" w:cs="宋体"/>
          <w:b/>
          <w:sz w:val="21"/>
          <w:szCs w:val="21"/>
        </w:rPr>
        <w:t>公司（单位）名称（盖章或电子签章）：</w:t>
      </w:r>
    </w:p>
    <w:p w14:paraId="4C420D3B">
      <w:pPr>
        <w:pStyle w:val="37"/>
        <w:spacing w:line="360" w:lineRule="auto"/>
        <w:ind w:firstLine="4216" w:firstLineChars="2000"/>
        <w:jc w:val="both"/>
        <w:rPr>
          <w:rFonts w:ascii="宋体" w:hAnsi="宋体" w:cs="宋体"/>
          <w:sz w:val="21"/>
          <w:szCs w:val="21"/>
        </w:rPr>
      </w:pPr>
      <w:r>
        <w:rPr>
          <w:rFonts w:hint="eastAsia" w:ascii="宋体" w:hAnsi="宋体" w:cs="宋体"/>
          <w:sz w:val="21"/>
          <w:szCs w:val="21"/>
        </w:rPr>
        <w:t>日期：</w:t>
      </w:r>
      <w:r>
        <w:rPr>
          <w:rFonts w:hint="eastAsia" w:ascii="宋体" w:hAnsi="宋体"/>
          <w:color w:val="auto"/>
          <w:szCs w:val="21"/>
        </w:rPr>
        <w:t>年   月   日</w:t>
      </w:r>
    </w:p>
    <w:p w14:paraId="6E4D8F7B">
      <w:pPr>
        <w:spacing w:line="360" w:lineRule="auto"/>
        <w:ind w:firstLine="480" w:firstLineChars="200"/>
        <w:rPr>
          <w:rFonts w:ascii="仿宋" w:hAnsi="仿宋" w:eastAsia="仿宋" w:cs="仿宋"/>
          <w:bCs/>
          <w:sz w:val="24"/>
        </w:rPr>
      </w:pPr>
      <w:r>
        <w:rPr>
          <w:rFonts w:hint="eastAsia" w:ascii="仿宋" w:hAnsi="仿宋" w:eastAsia="仿宋" w:cs="仿宋"/>
          <w:bCs/>
          <w:sz w:val="24"/>
        </w:rPr>
        <w:t>1.产品如有型号，请在“产品名称”栏一并填写。</w:t>
      </w:r>
    </w:p>
    <w:p w14:paraId="29ABD89C">
      <w:pPr>
        <w:spacing w:line="360" w:lineRule="auto"/>
        <w:ind w:left="420" w:leftChars="200"/>
        <w:rPr>
          <w:rFonts w:ascii="仿宋" w:hAnsi="仿宋" w:eastAsia="仿宋" w:cs="仿宋"/>
          <w:bCs/>
          <w:sz w:val="24"/>
        </w:rPr>
      </w:pPr>
      <w:r>
        <w:rPr>
          <w:rFonts w:hint="eastAsia" w:ascii="仿宋" w:hAnsi="仿宋" w:eastAsia="仿宋" w:cs="仿宋"/>
          <w:bCs/>
          <w:sz w:val="24"/>
        </w:rPr>
        <w:t>2.生产厂名与厂址应与生产厂营业执照载明的相关信息保持一致。</w:t>
      </w:r>
    </w:p>
    <w:p w14:paraId="497C528D">
      <w:pPr>
        <w:spacing w:line="360" w:lineRule="auto"/>
        <w:ind w:left="420" w:leftChars="200"/>
        <w:rPr>
          <w:rFonts w:ascii="仿宋" w:hAnsi="仿宋" w:eastAsia="仿宋" w:cs="仿宋"/>
          <w:bCs/>
          <w:sz w:val="24"/>
        </w:rPr>
      </w:pPr>
      <w:r>
        <w:rPr>
          <w:rFonts w:hint="eastAsia" w:ascii="仿宋" w:hAnsi="仿宋" w:eastAsia="仿宋" w:cs="仿宋"/>
          <w:bCs/>
          <w:sz w:val="24"/>
        </w:rPr>
        <w:t>3.该产品的中国境内生产的组件成本占比相关要求实施前，“规定比例”栏可不填，下同。</w:t>
      </w:r>
    </w:p>
    <w:p w14:paraId="25233707">
      <w:pPr>
        <w:spacing w:line="360" w:lineRule="auto"/>
        <w:ind w:left="420" w:leftChars="200"/>
        <w:rPr>
          <w:rFonts w:ascii="仿宋" w:hAnsi="仿宋" w:eastAsia="仿宋" w:cs="仿宋"/>
          <w:bCs/>
          <w:sz w:val="24"/>
        </w:rPr>
      </w:pPr>
      <w:r>
        <w:rPr>
          <w:rFonts w:hint="eastAsia" w:ascii="仿宋" w:hAnsi="仿宋" w:eastAsia="仿宋" w:cs="仿宋"/>
          <w:bCs/>
          <w:sz w:val="24"/>
        </w:rPr>
        <w:t>4.该产品的关键组件要求实施前，“关键组件”栏可不填，下同。</w:t>
      </w:r>
    </w:p>
    <w:p w14:paraId="524938D8">
      <w:pPr>
        <w:spacing w:line="360" w:lineRule="auto"/>
        <w:ind w:left="420" w:leftChars="200"/>
        <w:rPr>
          <w:rFonts w:ascii="仿宋" w:hAnsi="仿宋" w:eastAsia="仿宋" w:cs="仿宋"/>
          <w:b/>
          <w:sz w:val="24"/>
        </w:rPr>
      </w:pPr>
      <w:r>
        <w:rPr>
          <w:rFonts w:hint="eastAsia" w:ascii="仿宋" w:hAnsi="仿宋" w:eastAsia="仿宋" w:cs="仿宋"/>
          <w:bCs/>
          <w:sz w:val="24"/>
        </w:rPr>
        <w:t>5.该产品的关键工序要求实施前，“关键工序”栏可不填，下同。</w:t>
      </w:r>
    </w:p>
    <w:p w14:paraId="0228C567">
      <w:pPr>
        <w:spacing w:line="360" w:lineRule="auto"/>
        <w:jc w:val="center"/>
        <w:rPr>
          <w:rFonts w:ascii="宋体" w:hAnsi="宋体"/>
          <w:b/>
          <w:bCs/>
          <w:sz w:val="32"/>
          <w:szCs w:val="32"/>
        </w:rPr>
      </w:pPr>
      <w:r>
        <w:rPr>
          <w:rFonts w:ascii="宋体" w:hAnsi="宋体"/>
          <w:sz w:val="24"/>
        </w:rPr>
        <w:br w:type="page"/>
      </w:r>
      <w:r>
        <w:rPr>
          <w:rFonts w:hint="eastAsia" w:ascii="宋体" w:hAnsi="宋体"/>
          <w:b/>
          <w:bCs/>
          <w:sz w:val="32"/>
          <w:szCs w:val="32"/>
        </w:rPr>
        <w:t>质疑函（格式）</w:t>
      </w:r>
    </w:p>
    <w:p w14:paraId="5FF1B3DA">
      <w:pPr>
        <w:pStyle w:val="15"/>
        <w:snapToGrid w:val="0"/>
        <w:spacing w:line="360" w:lineRule="auto"/>
        <w:ind w:firstLine="482" w:firstLineChars="200"/>
        <w:rPr>
          <w:rFonts w:hAnsi="宋体"/>
          <w:b/>
          <w:bCs/>
          <w:sz w:val="24"/>
          <w:szCs w:val="24"/>
        </w:rPr>
      </w:pPr>
      <w:r>
        <w:rPr>
          <w:rFonts w:hint="eastAsia" w:hAnsi="宋体"/>
          <w:b/>
          <w:bCs/>
          <w:sz w:val="24"/>
          <w:szCs w:val="24"/>
        </w:rPr>
        <w:t>一、质疑供应商基本信息：</w:t>
      </w:r>
    </w:p>
    <w:p w14:paraId="07DD9DAC">
      <w:pPr>
        <w:pStyle w:val="15"/>
        <w:snapToGrid w:val="0"/>
        <w:spacing w:line="360" w:lineRule="auto"/>
        <w:ind w:firstLine="480" w:firstLineChars="200"/>
        <w:rPr>
          <w:rFonts w:hAnsi="宋体"/>
          <w:bCs/>
          <w:sz w:val="24"/>
          <w:szCs w:val="24"/>
          <w:u w:val="single"/>
        </w:rPr>
      </w:pPr>
      <w:r>
        <w:rPr>
          <w:rFonts w:hint="eastAsia" w:hAnsi="宋体"/>
          <w:bCs/>
          <w:sz w:val="24"/>
          <w:szCs w:val="24"/>
        </w:rPr>
        <w:t>质疑供应商：</w:t>
      </w:r>
    </w:p>
    <w:p w14:paraId="4F0817C4">
      <w:pPr>
        <w:pStyle w:val="15"/>
        <w:snapToGrid w:val="0"/>
        <w:spacing w:line="360" w:lineRule="auto"/>
        <w:ind w:firstLine="480" w:firstLineChars="200"/>
        <w:rPr>
          <w:rFonts w:hAnsi="宋体"/>
          <w:bCs/>
          <w:sz w:val="24"/>
          <w:szCs w:val="24"/>
        </w:rPr>
      </w:pPr>
      <w:r>
        <w:rPr>
          <w:rFonts w:hAnsi="宋体"/>
          <w:bCs/>
          <w:sz w:val="24"/>
          <w:szCs w:val="24"/>
        </w:rPr>
        <w:t>地址</w:t>
      </w:r>
      <w:r>
        <w:rPr>
          <w:rFonts w:hint="eastAsia" w:hAnsi="宋体"/>
          <w:bCs/>
          <w:sz w:val="24"/>
          <w:szCs w:val="24"/>
        </w:rPr>
        <w:t>：</w:t>
      </w:r>
      <w:r>
        <w:rPr>
          <w:rFonts w:hAnsi="宋体"/>
          <w:bCs/>
          <w:sz w:val="24"/>
          <w:szCs w:val="24"/>
        </w:rPr>
        <w:t>邮编</w:t>
      </w:r>
      <w:r>
        <w:rPr>
          <w:rFonts w:hint="eastAsia" w:hAnsi="宋体"/>
          <w:bCs/>
          <w:sz w:val="24"/>
          <w:szCs w:val="24"/>
        </w:rPr>
        <w:t>：</w:t>
      </w:r>
    </w:p>
    <w:p w14:paraId="34C8A299">
      <w:pPr>
        <w:pStyle w:val="15"/>
        <w:snapToGrid w:val="0"/>
        <w:spacing w:line="360" w:lineRule="auto"/>
        <w:ind w:firstLine="480" w:firstLineChars="200"/>
        <w:rPr>
          <w:rFonts w:hAnsi="宋体"/>
          <w:bCs/>
          <w:sz w:val="24"/>
          <w:szCs w:val="24"/>
        </w:rPr>
      </w:pPr>
      <w:r>
        <w:rPr>
          <w:rFonts w:hAnsi="宋体"/>
          <w:bCs/>
          <w:sz w:val="24"/>
          <w:szCs w:val="24"/>
        </w:rPr>
        <w:t>联系人</w:t>
      </w:r>
      <w:r>
        <w:rPr>
          <w:rFonts w:hint="eastAsia" w:hAnsi="宋体"/>
          <w:bCs/>
          <w:sz w:val="24"/>
          <w:szCs w:val="24"/>
        </w:rPr>
        <w:t>：</w:t>
      </w:r>
      <w:r>
        <w:rPr>
          <w:rFonts w:hAnsi="宋体"/>
          <w:bCs/>
          <w:sz w:val="24"/>
          <w:szCs w:val="24"/>
        </w:rPr>
        <w:t>联系电话</w:t>
      </w:r>
      <w:r>
        <w:rPr>
          <w:rFonts w:hint="eastAsia" w:hAnsi="宋体"/>
          <w:bCs/>
          <w:sz w:val="24"/>
          <w:szCs w:val="24"/>
        </w:rPr>
        <w:t>：</w:t>
      </w:r>
    </w:p>
    <w:p w14:paraId="00CDD3E6">
      <w:pPr>
        <w:pStyle w:val="15"/>
        <w:snapToGrid w:val="0"/>
        <w:spacing w:line="360" w:lineRule="auto"/>
        <w:ind w:firstLine="480" w:firstLineChars="200"/>
        <w:rPr>
          <w:rFonts w:hAnsi="宋体"/>
          <w:bCs/>
          <w:sz w:val="24"/>
          <w:szCs w:val="24"/>
        </w:rPr>
      </w:pPr>
      <w:r>
        <w:rPr>
          <w:rFonts w:hint="eastAsia" w:hAnsi="宋体"/>
          <w:bCs/>
          <w:sz w:val="24"/>
          <w:szCs w:val="24"/>
        </w:rPr>
        <w:t>授权代表：</w:t>
      </w:r>
    </w:p>
    <w:p w14:paraId="369086F2">
      <w:pPr>
        <w:pStyle w:val="15"/>
        <w:snapToGrid w:val="0"/>
        <w:spacing w:line="360" w:lineRule="auto"/>
        <w:ind w:firstLine="480" w:firstLineChars="200"/>
        <w:rPr>
          <w:rFonts w:hAnsi="宋体"/>
          <w:bCs/>
          <w:sz w:val="24"/>
          <w:szCs w:val="24"/>
          <w:u w:val="single"/>
        </w:rPr>
      </w:pPr>
      <w:r>
        <w:rPr>
          <w:rFonts w:hAnsi="宋体"/>
          <w:bCs/>
          <w:sz w:val="24"/>
          <w:szCs w:val="24"/>
        </w:rPr>
        <w:t>联系</w:t>
      </w:r>
      <w:r>
        <w:rPr>
          <w:rFonts w:hint="eastAsia" w:hAnsi="宋体"/>
          <w:bCs/>
          <w:sz w:val="24"/>
          <w:szCs w:val="24"/>
        </w:rPr>
        <w:t>电话：</w:t>
      </w:r>
    </w:p>
    <w:p w14:paraId="52146430">
      <w:pPr>
        <w:pStyle w:val="15"/>
        <w:snapToGrid w:val="0"/>
        <w:spacing w:line="360" w:lineRule="auto"/>
        <w:ind w:firstLine="480" w:firstLineChars="200"/>
        <w:rPr>
          <w:rFonts w:hAnsi="宋体"/>
          <w:bCs/>
          <w:sz w:val="24"/>
          <w:szCs w:val="24"/>
        </w:rPr>
      </w:pPr>
      <w:r>
        <w:rPr>
          <w:rFonts w:hAnsi="宋体"/>
          <w:bCs/>
          <w:sz w:val="24"/>
          <w:szCs w:val="24"/>
        </w:rPr>
        <w:t>地址</w:t>
      </w:r>
      <w:r>
        <w:rPr>
          <w:rFonts w:hint="eastAsia" w:hAnsi="宋体"/>
          <w:bCs/>
          <w:sz w:val="24"/>
          <w:szCs w:val="24"/>
        </w:rPr>
        <w:t>：</w:t>
      </w:r>
      <w:r>
        <w:rPr>
          <w:rFonts w:hAnsi="宋体"/>
          <w:bCs/>
          <w:sz w:val="24"/>
          <w:szCs w:val="24"/>
        </w:rPr>
        <w:t>邮编</w:t>
      </w:r>
      <w:r>
        <w:rPr>
          <w:rFonts w:hint="eastAsia" w:hAnsi="宋体"/>
          <w:bCs/>
          <w:sz w:val="24"/>
          <w:szCs w:val="24"/>
        </w:rPr>
        <w:t>：</w:t>
      </w:r>
    </w:p>
    <w:p w14:paraId="0CC816CD">
      <w:pPr>
        <w:pStyle w:val="15"/>
        <w:snapToGrid w:val="0"/>
        <w:spacing w:line="360" w:lineRule="auto"/>
        <w:ind w:firstLine="482" w:firstLineChars="200"/>
        <w:rPr>
          <w:rFonts w:hAnsi="宋体"/>
          <w:b/>
          <w:bCs/>
          <w:sz w:val="24"/>
          <w:szCs w:val="24"/>
        </w:rPr>
      </w:pPr>
      <w:r>
        <w:rPr>
          <w:rFonts w:hint="eastAsia" w:hAnsi="宋体"/>
          <w:b/>
          <w:bCs/>
          <w:sz w:val="24"/>
          <w:szCs w:val="24"/>
        </w:rPr>
        <w:t>二、质疑项目基本情况：</w:t>
      </w:r>
    </w:p>
    <w:p w14:paraId="0D036EE9">
      <w:pPr>
        <w:pStyle w:val="15"/>
        <w:spacing w:line="360" w:lineRule="auto"/>
        <w:ind w:left="25" w:leftChars="12" w:firstLine="472" w:firstLineChars="197"/>
        <w:rPr>
          <w:rFonts w:hAnsi="宋体"/>
          <w:sz w:val="24"/>
          <w:szCs w:val="24"/>
        </w:rPr>
      </w:pPr>
      <w:r>
        <w:rPr>
          <w:rFonts w:hint="eastAsia" w:hAnsi="宋体"/>
          <w:bCs/>
          <w:sz w:val="24"/>
          <w:szCs w:val="24"/>
        </w:rPr>
        <w:t>质疑</w:t>
      </w:r>
      <w:r>
        <w:rPr>
          <w:rFonts w:hint="eastAsia" w:hAnsi="宋体"/>
          <w:sz w:val="24"/>
          <w:szCs w:val="24"/>
        </w:rPr>
        <w:t>项目的名称：</w:t>
      </w:r>
    </w:p>
    <w:p w14:paraId="0838756A">
      <w:pPr>
        <w:pStyle w:val="15"/>
        <w:spacing w:line="360" w:lineRule="auto"/>
        <w:ind w:left="25" w:leftChars="12" w:firstLine="472" w:firstLineChars="197"/>
        <w:rPr>
          <w:rFonts w:hAnsi="宋体"/>
          <w:sz w:val="24"/>
          <w:szCs w:val="24"/>
        </w:rPr>
      </w:pPr>
      <w:r>
        <w:rPr>
          <w:rFonts w:hint="eastAsia" w:hAnsi="宋体"/>
          <w:bCs/>
          <w:sz w:val="24"/>
          <w:szCs w:val="24"/>
        </w:rPr>
        <w:t>质疑</w:t>
      </w:r>
      <w:r>
        <w:rPr>
          <w:rFonts w:hint="eastAsia" w:hAnsi="宋体"/>
          <w:sz w:val="24"/>
          <w:szCs w:val="24"/>
        </w:rPr>
        <w:t>项目的编号：</w:t>
      </w:r>
    </w:p>
    <w:p w14:paraId="1E612F07">
      <w:pPr>
        <w:pStyle w:val="15"/>
        <w:spacing w:line="360" w:lineRule="auto"/>
        <w:ind w:left="25" w:leftChars="12" w:firstLine="472" w:firstLineChars="197"/>
        <w:rPr>
          <w:rFonts w:hAnsi="宋体"/>
          <w:sz w:val="24"/>
          <w:szCs w:val="24"/>
        </w:rPr>
      </w:pPr>
      <w:r>
        <w:rPr>
          <w:rFonts w:hint="eastAsia" w:hAnsi="宋体"/>
          <w:sz w:val="24"/>
          <w:szCs w:val="24"/>
        </w:rPr>
        <w:t>采购人名称：</w:t>
      </w:r>
    </w:p>
    <w:p w14:paraId="4C2A3462">
      <w:pPr>
        <w:pStyle w:val="15"/>
        <w:spacing w:line="360" w:lineRule="auto"/>
        <w:ind w:left="25" w:leftChars="12" w:firstLine="472" w:firstLineChars="197"/>
        <w:rPr>
          <w:rFonts w:hAnsi="宋体"/>
          <w:sz w:val="24"/>
          <w:szCs w:val="24"/>
        </w:rPr>
      </w:pPr>
      <w:r>
        <w:rPr>
          <w:rFonts w:hint="eastAsia" w:hAnsi="宋体"/>
          <w:sz w:val="24"/>
          <w:szCs w:val="24"/>
        </w:rPr>
        <w:t>质疑事项：</w:t>
      </w:r>
    </w:p>
    <w:p w14:paraId="34BFC6FC">
      <w:pPr>
        <w:pStyle w:val="15"/>
        <w:spacing w:line="360" w:lineRule="auto"/>
        <w:ind w:left="25" w:leftChars="12" w:firstLine="352" w:firstLineChars="147"/>
        <w:rPr>
          <w:rFonts w:hAnsi="宋体"/>
          <w:sz w:val="24"/>
          <w:szCs w:val="24"/>
        </w:rPr>
      </w:pPr>
      <w:r>
        <w:rPr>
          <w:rFonts w:hint="eastAsia" w:hAnsi="宋体"/>
          <w:sz w:val="24"/>
          <w:szCs w:val="24"/>
        </w:rPr>
        <w:t>□招标文件   招标文件获取日期：</w:t>
      </w:r>
    </w:p>
    <w:p w14:paraId="2521B7BC">
      <w:pPr>
        <w:pStyle w:val="15"/>
        <w:spacing w:line="360" w:lineRule="auto"/>
        <w:ind w:left="25" w:leftChars="12" w:firstLine="352" w:firstLineChars="147"/>
        <w:rPr>
          <w:rFonts w:hAnsi="宋体"/>
          <w:sz w:val="24"/>
          <w:szCs w:val="24"/>
        </w:rPr>
      </w:pPr>
      <w:r>
        <w:rPr>
          <w:rFonts w:hint="eastAsia" w:hAnsi="宋体"/>
          <w:sz w:val="24"/>
          <w:szCs w:val="24"/>
        </w:rPr>
        <w:t xml:space="preserve">□采购过程   </w:t>
      </w:r>
    </w:p>
    <w:p w14:paraId="03083CC0">
      <w:pPr>
        <w:pStyle w:val="15"/>
        <w:spacing w:line="360" w:lineRule="auto"/>
        <w:ind w:left="25" w:leftChars="12" w:firstLine="352" w:firstLineChars="147"/>
        <w:rPr>
          <w:rFonts w:hAnsi="宋体"/>
          <w:bCs/>
          <w:sz w:val="24"/>
          <w:szCs w:val="24"/>
          <w:u w:val="single"/>
        </w:rPr>
      </w:pPr>
      <w:r>
        <w:rPr>
          <w:rFonts w:hint="eastAsia" w:hAnsi="宋体"/>
          <w:sz w:val="24"/>
          <w:szCs w:val="24"/>
        </w:rPr>
        <w:t xml:space="preserve">□中标结果   </w:t>
      </w:r>
    </w:p>
    <w:p w14:paraId="3ED2325B">
      <w:pPr>
        <w:pStyle w:val="15"/>
        <w:spacing w:line="360" w:lineRule="auto"/>
        <w:ind w:left="25" w:leftChars="12" w:firstLine="472" w:firstLineChars="196"/>
        <w:rPr>
          <w:rFonts w:hAnsi="宋体"/>
          <w:b/>
          <w:sz w:val="24"/>
          <w:szCs w:val="24"/>
        </w:rPr>
      </w:pPr>
      <w:r>
        <w:rPr>
          <w:rFonts w:hint="eastAsia" w:hAnsi="宋体"/>
          <w:b/>
          <w:sz w:val="24"/>
          <w:szCs w:val="24"/>
        </w:rPr>
        <w:t>三、质疑事项具体内容</w:t>
      </w:r>
    </w:p>
    <w:p w14:paraId="3CF38EE7">
      <w:pPr>
        <w:pStyle w:val="15"/>
        <w:spacing w:line="360" w:lineRule="auto"/>
        <w:ind w:left="25" w:leftChars="12" w:firstLine="472" w:firstLineChars="197"/>
        <w:rPr>
          <w:rFonts w:hAnsi="宋体"/>
          <w:sz w:val="24"/>
          <w:szCs w:val="24"/>
        </w:rPr>
      </w:pPr>
      <w:r>
        <w:rPr>
          <w:rFonts w:hint="eastAsia" w:hAnsi="宋体"/>
          <w:sz w:val="24"/>
          <w:szCs w:val="24"/>
        </w:rPr>
        <w:t>质疑事项1：</w:t>
      </w:r>
    </w:p>
    <w:p w14:paraId="516CA6CE">
      <w:pPr>
        <w:pStyle w:val="15"/>
        <w:spacing w:line="360" w:lineRule="auto"/>
        <w:ind w:left="25" w:leftChars="12" w:firstLine="472" w:firstLineChars="197"/>
        <w:rPr>
          <w:rFonts w:hAnsi="宋体"/>
          <w:sz w:val="24"/>
          <w:szCs w:val="24"/>
        </w:rPr>
      </w:pPr>
      <w:r>
        <w:rPr>
          <w:rFonts w:hint="eastAsia" w:hAnsi="宋体"/>
          <w:sz w:val="24"/>
          <w:szCs w:val="24"/>
        </w:rPr>
        <w:t>事实依据：</w:t>
      </w:r>
    </w:p>
    <w:p w14:paraId="36047E11">
      <w:pPr>
        <w:pStyle w:val="15"/>
        <w:spacing w:line="360" w:lineRule="auto"/>
        <w:ind w:left="25" w:leftChars="12" w:firstLine="472" w:firstLineChars="197"/>
        <w:rPr>
          <w:rFonts w:hAnsi="宋体"/>
          <w:sz w:val="24"/>
          <w:szCs w:val="24"/>
        </w:rPr>
      </w:pPr>
      <w:r>
        <w:rPr>
          <w:rFonts w:hint="eastAsia" w:hAnsi="宋体"/>
          <w:sz w:val="24"/>
          <w:szCs w:val="24"/>
        </w:rPr>
        <w:t>法律依据：</w:t>
      </w:r>
    </w:p>
    <w:p w14:paraId="0FDB9093">
      <w:pPr>
        <w:pStyle w:val="15"/>
        <w:spacing w:line="360" w:lineRule="auto"/>
        <w:ind w:left="25" w:leftChars="12" w:firstLine="472" w:firstLineChars="197"/>
        <w:rPr>
          <w:rFonts w:hAnsi="宋体"/>
          <w:sz w:val="24"/>
          <w:szCs w:val="24"/>
        </w:rPr>
      </w:pPr>
      <w:r>
        <w:rPr>
          <w:rFonts w:hint="eastAsia" w:hAnsi="宋体"/>
          <w:sz w:val="24"/>
          <w:szCs w:val="24"/>
        </w:rPr>
        <w:t>质疑事项2</w:t>
      </w:r>
    </w:p>
    <w:p w14:paraId="2038345A">
      <w:pPr>
        <w:pStyle w:val="15"/>
        <w:spacing w:line="360" w:lineRule="auto"/>
        <w:ind w:left="25" w:leftChars="12" w:firstLine="472" w:firstLineChars="197"/>
        <w:rPr>
          <w:rFonts w:hAnsi="宋体"/>
          <w:sz w:val="24"/>
          <w:szCs w:val="24"/>
        </w:rPr>
      </w:pPr>
      <w:r>
        <w:rPr>
          <w:rFonts w:hAnsi="宋体"/>
          <w:sz w:val="24"/>
          <w:szCs w:val="24"/>
        </w:rPr>
        <w:t>……</w:t>
      </w:r>
    </w:p>
    <w:p w14:paraId="1E99E6F8">
      <w:pPr>
        <w:pStyle w:val="15"/>
        <w:spacing w:line="360" w:lineRule="auto"/>
        <w:ind w:left="25" w:leftChars="12" w:firstLine="472" w:firstLineChars="197"/>
        <w:rPr>
          <w:rFonts w:hAnsi="宋体"/>
          <w:sz w:val="24"/>
          <w:szCs w:val="24"/>
        </w:rPr>
      </w:pPr>
      <w:r>
        <w:rPr>
          <w:rFonts w:hint="eastAsia" w:hAnsi="宋体"/>
          <w:sz w:val="24"/>
          <w:szCs w:val="24"/>
        </w:rPr>
        <w:t>四、与质疑事项相关的质疑请求：</w:t>
      </w:r>
    </w:p>
    <w:p w14:paraId="26F489A7">
      <w:pPr>
        <w:pStyle w:val="15"/>
        <w:spacing w:line="360" w:lineRule="auto"/>
        <w:ind w:left="25" w:leftChars="12" w:firstLine="472" w:firstLineChars="197"/>
        <w:rPr>
          <w:rFonts w:hAnsi="宋体"/>
          <w:sz w:val="24"/>
          <w:szCs w:val="24"/>
        </w:rPr>
      </w:pPr>
      <w:r>
        <w:rPr>
          <w:rFonts w:hint="eastAsia" w:hAnsi="宋体"/>
          <w:sz w:val="24"/>
          <w:szCs w:val="24"/>
        </w:rPr>
        <w:t>请求：</w:t>
      </w:r>
    </w:p>
    <w:p w14:paraId="0BEA6911">
      <w:pPr>
        <w:pStyle w:val="15"/>
        <w:spacing w:line="360" w:lineRule="auto"/>
        <w:ind w:left="25" w:leftChars="12" w:firstLine="352" w:firstLineChars="147"/>
        <w:rPr>
          <w:rFonts w:hAnsi="宋体"/>
          <w:sz w:val="24"/>
          <w:szCs w:val="24"/>
        </w:rPr>
      </w:pPr>
    </w:p>
    <w:p w14:paraId="7443C14A">
      <w:pPr>
        <w:pStyle w:val="15"/>
        <w:spacing w:line="360" w:lineRule="auto"/>
        <w:ind w:left="25" w:leftChars="12" w:firstLine="472" w:firstLineChars="197"/>
        <w:rPr>
          <w:rFonts w:hAnsi="宋体"/>
          <w:sz w:val="24"/>
          <w:szCs w:val="24"/>
        </w:rPr>
      </w:pPr>
      <w:r>
        <w:rPr>
          <w:rFonts w:hint="eastAsia" w:hAnsi="宋体"/>
          <w:sz w:val="24"/>
          <w:szCs w:val="24"/>
        </w:rPr>
        <w:t>签字（签章）：                                       公章：</w:t>
      </w:r>
    </w:p>
    <w:p w14:paraId="6480EA1D">
      <w:pPr>
        <w:pStyle w:val="15"/>
        <w:spacing w:line="360" w:lineRule="auto"/>
        <w:ind w:left="25" w:leftChars="12" w:firstLine="352" w:firstLineChars="147"/>
        <w:rPr>
          <w:rFonts w:hAnsi="宋体"/>
          <w:sz w:val="24"/>
          <w:szCs w:val="24"/>
        </w:rPr>
      </w:pPr>
    </w:p>
    <w:p w14:paraId="4CF841E9">
      <w:pPr>
        <w:pStyle w:val="15"/>
        <w:spacing w:line="360" w:lineRule="auto"/>
        <w:ind w:left="25" w:leftChars="12" w:firstLine="472" w:firstLineChars="197"/>
        <w:rPr>
          <w:rFonts w:hAnsi="宋体"/>
          <w:sz w:val="24"/>
          <w:szCs w:val="24"/>
        </w:rPr>
      </w:pPr>
      <w:r>
        <w:rPr>
          <w:rFonts w:hint="eastAsia" w:hAnsi="宋体"/>
          <w:sz w:val="24"/>
          <w:szCs w:val="24"/>
        </w:rPr>
        <w:t>日期：</w:t>
      </w:r>
    </w:p>
    <w:p w14:paraId="2EA4A81C">
      <w:pPr>
        <w:pStyle w:val="15"/>
        <w:snapToGrid w:val="0"/>
        <w:spacing w:line="360" w:lineRule="auto"/>
        <w:rPr>
          <w:rFonts w:hAnsi="宋体"/>
          <w:b/>
          <w:sz w:val="24"/>
          <w:szCs w:val="24"/>
        </w:rPr>
      </w:pPr>
    </w:p>
    <w:p w14:paraId="14AD04C8">
      <w:pPr>
        <w:pStyle w:val="15"/>
        <w:snapToGrid w:val="0"/>
        <w:spacing w:line="360" w:lineRule="auto"/>
        <w:rPr>
          <w:rFonts w:hAnsi="宋体"/>
          <w:b/>
          <w:sz w:val="24"/>
          <w:szCs w:val="24"/>
        </w:rPr>
      </w:pPr>
      <w:r>
        <w:rPr>
          <w:rFonts w:hint="eastAsia" w:hAnsi="宋体"/>
          <w:b/>
          <w:sz w:val="24"/>
          <w:szCs w:val="24"/>
        </w:rPr>
        <w:t>说明：</w:t>
      </w:r>
    </w:p>
    <w:p w14:paraId="126DEE56">
      <w:pPr>
        <w:pStyle w:val="15"/>
        <w:spacing w:line="360" w:lineRule="auto"/>
        <w:ind w:left="25" w:leftChars="12" w:firstLine="354" w:firstLineChars="147"/>
        <w:rPr>
          <w:rFonts w:hAnsi="宋体"/>
          <w:b/>
          <w:bCs/>
          <w:sz w:val="24"/>
          <w:szCs w:val="24"/>
        </w:rPr>
      </w:pPr>
      <w:r>
        <w:rPr>
          <w:rFonts w:hint="eastAsia" w:hAnsi="宋体"/>
          <w:b/>
          <w:sz w:val="24"/>
          <w:szCs w:val="24"/>
        </w:rPr>
        <w:t>1.供应商提出质疑时，应提交质疑函和必要的证明材料</w:t>
      </w:r>
      <w:r>
        <w:rPr>
          <w:rFonts w:hint="eastAsia" w:hAnsi="宋体"/>
          <w:b/>
          <w:bCs/>
          <w:sz w:val="24"/>
          <w:szCs w:val="24"/>
        </w:rPr>
        <w:t>。</w:t>
      </w:r>
    </w:p>
    <w:p w14:paraId="198BA18D">
      <w:pPr>
        <w:pStyle w:val="15"/>
        <w:spacing w:line="360" w:lineRule="auto"/>
        <w:ind w:left="25" w:leftChars="12" w:firstLine="354" w:firstLineChars="147"/>
        <w:rPr>
          <w:rFonts w:hAnsi="宋体"/>
          <w:b/>
          <w:sz w:val="24"/>
          <w:szCs w:val="24"/>
        </w:rPr>
      </w:pPr>
      <w:r>
        <w:rPr>
          <w:rFonts w:hint="eastAsia" w:hAnsi="宋体"/>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D98501A">
      <w:pPr>
        <w:pStyle w:val="15"/>
        <w:spacing w:line="360" w:lineRule="auto"/>
        <w:ind w:left="25" w:leftChars="12" w:firstLine="354" w:firstLineChars="147"/>
        <w:rPr>
          <w:rFonts w:hAnsi="宋体"/>
          <w:b/>
          <w:sz w:val="24"/>
          <w:szCs w:val="24"/>
        </w:rPr>
      </w:pPr>
      <w:r>
        <w:rPr>
          <w:rFonts w:hint="eastAsia" w:hAnsi="宋体"/>
          <w:b/>
          <w:sz w:val="24"/>
          <w:szCs w:val="24"/>
        </w:rPr>
        <w:t>3.质疑函的质疑事项应具体、明确，并有必要的事实依据和法律依据。</w:t>
      </w:r>
    </w:p>
    <w:p w14:paraId="0E3DC8D2">
      <w:pPr>
        <w:pStyle w:val="15"/>
        <w:spacing w:line="360" w:lineRule="auto"/>
        <w:ind w:left="25" w:leftChars="12" w:firstLine="354" w:firstLineChars="147"/>
        <w:rPr>
          <w:rFonts w:hAnsi="宋体"/>
          <w:b/>
          <w:sz w:val="24"/>
          <w:szCs w:val="24"/>
        </w:rPr>
      </w:pPr>
      <w:r>
        <w:rPr>
          <w:rFonts w:hint="eastAsia" w:hAnsi="宋体"/>
          <w:b/>
          <w:sz w:val="24"/>
          <w:szCs w:val="24"/>
        </w:rPr>
        <w:t>4.质疑函的质疑请求应与质疑事项相关。</w:t>
      </w:r>
    </w:p>
    <w:p w14:paraId="64F8C7C3">
      <w:pPr>
        <w:pStyle w:val="15"/>
        <w:spacing w:line="360" w:lineRule="auto"/>
        <w:ind w:left="25" w:leftChars="12" w:firstLine="354" w:firstLineChars="147"/>
        <w:rPr>
          <w:rFonts w:hAnsi="宋体"/>
          <w:b/>
        </w:rPr>
      </w:pPr>
      <w:r>
        <w:rPr>
          <w:rFonts w:hint="eastAsia" w:hAnsi="宋体"/>
          <w:b/>
          <w:sz w:val="24"/>
          <w:szCs w:val="24"/>
        </w:rPr>
        <w:t>5.质疑供应商为法人或者其他组织的，质疑函应由法定代表人、主要负责人，或者其授权代表签字或者盖章，并加盖公章。</w:t>
      </w:r>
    </w:p>
    <w:p w14:paraId="561C624E">
      <w:pPr>
        <w:pStyle w:val="15"/>
        <w:snapToGrid w:val="0"/>
        <w:rPr>
          <w:b/>
          <w:sz w:val="24"/>
          <w:szCs w:val="24"/>
        </w:rPr>
      </w:pPr>
    </w:p>
    <w:p w14:paraId="5C422E7B">
      <w:pPr>
        <w:spacing w:line="460" w:lineRule="exact"/>
        <w:jc w:val="center"/>
        <w:rPr>
          <w:rFonts w:eastAsia="隶书"/>
          <w:sz w:val="44"/>
        </w:rPr>
      </w:pPr>
      <w:r>
        <w:rPr>
          <w:rFonts w:eastAsia="隶书"/>
          <w:sz w:val="44"/>
        </w:rPr>
        <w:br w:type="page"/>
      </w:r>
    </w:p>
    <w:p w14:paraId="5B4894BF">
      <w:pPr>
        <w:spacing w:line="360" w:lineRule="auto"/>
        <w:jc w:val="center"/>
        <w:rPr>
          <w:rFonts w:ascii="宋体" w:hAnsi="宋体"/>
          <w:b/>
          <w:bCs/>
          <w:sz w:val="32"/>
          <w:szCs w:val="32"/>
        </w:rPr>
      </w:pPr>
      <w:r>
        <w:rPr>
          <w:rFonts w:hint="eastAsia" w:ascii="宋体" w:hAnsi="宋体"/>
          <w:b/>
          <w:bCs/>
          <w:sz w:val="32"/>
          <w:szCs w:val="32"/>
        </w:rPr>
        <w:t>投诉书（格式）</w:t>
      </w:r>
    </w:p>
    <w:p w14:paraId="1FC2000E">
      <w:pPr>
        <w:pStyle w:val="15"/>
        <w:snapToGrid w:val="0"/>
        <w:spacing w:line="360" w:lineRule="auto"/>
        <w:ind w:firstLine="482" w:firstLineChars="200"/>
        <w:rPr>
          <w:rFonts w:hAnsi="宋体"/>
          <w:b/>
          <w:bCs/>
          <w:sz w:val="24"/>
          <w:szCs w:val="24"/>
        </w:rPr>
      </w:pPr>
      <w:r>
        <w:rPr>
          <w:rFonts w:hint="eastAsia" w:hAnsi="宋体"/>
          <w:b/>
          <w:bCs/>
          <w:sz w:val="24"/>
          <w:szCs w:val="24"/>
        </w:rPr>
        <w:t>一、投诉相关主体基本情况：</w:t>
      </w:r>
    </w:p>
    <w:p w14:paraId="7F0D1F22">
      <w:pPr>
        <w:pStyle w:val="15"/>
        <w:snapToGrid w:val="0"/>
        <w:spacing w:line="360" w:lineRule="auto"/>
        <w:ind w:firstLine="480" w:firstLineChars="200"/>
        <w:rPr>
          <w:rFonts w:hAnsi="宋体"/>
          <w:bCs/>
          <w:sz w:val="24"/>
          <w:szCs w:val="24"/>
          <w:u w:val="single"/>
        </w:rPr>
      </w:pPr>
      <w:r>
        <w:rPr>
          <w:rFonts w:hint="eastAsia" w:hAnsi="宋体"/>
          <w:bCs/>
          <w:sz w:val="24"/>
          <w:szCs w:val="24"/>
        </w:rPr>
        <w:t>投标人：</w:t>
      </w:r>
    </w:p>
    <w:p w14:paraId="11E80FBB">
      <w:pPr>
        <w:pStyle w:val="15"/>
        <w:snapToGrid w:val="0"/>
        <w:spacing w:line="360" w:lineRule="auto"/>
        <w:ind w:firstLine="480" w:firstLineChars="200"/>
        <w:rPr>
          <w:rFonts w:hAnsi="宋体"/>
          <w:bCs/>
          <w:sz w:val="24"/>
          <w:szCs w:val="24"/>
        </w:rPr>
      </w:pPr>
      <w:r>
        <w:rPr>
          <w:rFonts w:hAnsi="宋体"/>
          <w:bCs/>
          <w:sz w:val="24"/>
          <w:szCs w:val="24"/>
        </w:rPr>
        <w:t>地址</w:t>
      </w:r>
      <w:r>
        <w:rPr>
          <w:rFonts w:hint="eastAsia" w:hAnsi="宋体"/>
          <w:bCs/>
          <w:sz w:val="24"/>
          <w:szCs w:val="24"/>
        </w:rPr>
        <w:t>：</w:t>
      </w:r>
      <w:r>
        <w:rPr>
          <w:rFonts w:hAnsi="宋体"/>
          <w:bCs/>
          <w:sz w:val="24"/>
          <w:szCs w:val="24"/>
        </w:rPr>
        <w:t>邮编</w:t>
      </w:r>
      <w:r>
        <w:rPr>
          <w:rFonts w:hint="eastAsia" w:hAnsi="宋体"/>
          <w:bCs/>
          <w:sz w:val="24"/>
          <w:szCs w:val="24"/>
        </w:rPr>
        <w:t>：</w:t>
      </w:r>
    </w:p>
    <w:p w14:paraId="0F5C8A4D">
      <w:pPr>
        <w:pStyle w:val="15"/>
        <w:snapToGrid w:val="0"/>
        <w:spacing w:line="360" w:lineRule="auto"/>
        <w:ind w:firstLine="480" w:firstLineChars="200"/>
        <w:rPr>
          <w:rFonts w:hAnsi="宋体"/>
          <w:bCs/>
          <w:sz w:val="24"/>
          <w:szCs w:val="24"/>
          <w:u w:val="single"/>
        </w:rPr>
      </w:pPr>
      <w:r>
        <w:rPr>
          <w:rFonts w:hint="eastAsia" w:hAnsi="宋体"/>
          <w:bCs/>
          <w:sz w:val="24"/>
          <w:szCs w:val="24"/>
        </w:rPr>
        <w:t>法定代表人/主要负责人：</w:t>
      </w:r>
    </w:p>
    <w:p w14:paraId="2FCB0441">
      <w:pPr>
        <w:pStyle w:val="15"/>
        <w:snapToGrid w:val="0"/>
        <w:spacing w:line="360" w:lineRule="auto"/>
        <w:ind w:firstLine="480" w:firstLineChars="200"/>
        <w:rPr>
          <w:rFonts w:hAnsi="宋体"/>
          <w:bCs/>
          <w:sz w:val="24"/>
          <w:szCs w:val="24"/>
        </w:rPr>
      </w:pPr>
      <w:r>
        <w:rPr>
          <w:rFonts w:hAnsi="宋体"/>
          <w:bCs/>
          <w:sz w:val="24"/>
          <w:szCs w:val="24"/>
        </w:rPr>
        <w:t>联系电话</w:t>
      </w:r>
      <w:r>
        <w:rPr>
          <w:rFonts w:hint="eastAsia" w:hAnsi="宋体"/>
          <w:bCs/>
          <w:sz w:val="24"/>
          <w:szCs w:val="24"/>
        </w:rPr>
        <w:t>：</w:t>
      </w:r>
    </w:p>
    <w:p w14:paraId="37C80E3F">
      <w:pPr>
        <w:pStyle w:val="15"/>
        <w:snapToGrid w:val="0"/>
        <w:spacing w:line="360" w:lineRule="auto"/>
        <w:ind w:firstLine="480" w:firstLineChars="200"/>
        <w:rPr>
          <w:rFonts w:hAnsi="宋体"/>
          <w:bCs/>
          <w:sz w:val="24"/>
          <w:szCs w:val="24"/>
          <w:u w:val="single"/>
        </w:rPr>
      </w:pPr>
      <w:r>
        <w:rPr>
          <w:rFonts w:hint="eastAsia" w:hAnsi="宋体"/>
          <w:bCs/>
          <w:sz w:val="24"/>
          <w:szCs w:val="24"/>
        </w:rPr>
        <w:t>授权代表：</w:t>
      </w:r>
      <w:r>
        <w:rPr>
          <w:rFonts w:hAnsi="宋体"/>
          <w:bCs/>
          <w:sz w:val="24"/>
          <w:szCs w:val="24"/>
        </w:rPr>
        <w:t>联系</w:t>
      </w:r>
      <w:r>
        <w:rPr>
          <w:rFonts w:hint="eastAsia" w:hAnsi="宋体"/>
          <w:bCs/>
          <w:sz w:val="24"/>
          <w:szCs w:val="24"/>
        </w:rPr>
        <w:t>电话：</w:t>
      </w:r>
    </w:p>
    <w:p w14:paraId="4E95EE75">
      <w:pPr>
        <w:pStyle w:val="15"/>
        <w:snapToGrid w:val="0"/>
        <w:spacing w:line="360" w:lineRule="auto"/>
        <w:ind w:firstLine="480" w:firstLineChars="200"/>
        <w:rPr>
          <w:rFonts w:hAnsi="宋体"/>
          <w:bCs/>
          <w:sz w:val="24"/>
          <w:szCs w:val="24"/>
        </w:rPr>
      </w:pPr>
      <w:r>
        <w:rPr>
          <w:rFonts w:hAnsi="宋体"/>
          <w:bCs/>
          <w:sz w:val="24"/>
          <w:szCs w:val="24"/>
        </w:rPr>
        <w:t>地址</w:t>
      </w:r>
      <w:r>
        <w:rPr>
          <w:rFonts w:hint="eastAsia" w:hAnsi="宋体"/>
          <w:bCs/>
          <w:sz w:val="24"/>
          <w:szCs w:val="24"/>
        </w:rPr>
        <w:t>：</w:t>
      </w:r>
      <w:r>
        <w:rPr>
          <w:rFonts w:hAnsi="宋体"/>
          <w:bCs/>
          <w:sz w:val="24"/>
          <w:szCs w:val="24"/>
        </w:rPr>
        <w:t>邮编</w:t>
      </w:r>
      <w:r>
        <w:rPr>
          <w:rFonts w:hint="eastAsia" w:hAnsi="宋体"/>
          <w:bCs/>
          <w:sz w:val="24"/>
          <w:szCs w:val="24"/>
        </w:rPr>
        <w:t>：</w:t>
      </w:r>
    </w:p>
    <w:p w14:paraId="4C3557BE">
      <w:pPr>
        <w:pStyle w:val="15"/>
        <w:snapToGrid w:val="0"/>
        <w:spacing w:line="360" w:lineRule="auto"/>
        <w:ind w:firstLine="480" w:firstLineChars="200"/>
        <w:rPr>
          <w:rFonts w:hAnsi="宋体"/>
          <w:bCs/>
          <w:sz w:val="24"/>
          <w:szCs w:val="24"/>
        </w:rPr>
      </w:pPr>
      <w:r>
        <w:rPr>
          <w:rFonts w:hint="eastAsia" w:hAnsi="宋体"/>
          <w:bCs/>
          <w:sz w:val="24"/>
          <w:szCs w:val="24"/>
        </w:rPr>
        <w:t>被投诉人1：</w:t>
      </w:r>
    </w:p>
    <w:p w14:paraId="4A8FB1BA">
      <w:pPr>
        <w:pStyle w:val="15"/>
        <w:snapToGrid w:val="0"/>
        <w:spacing w:line="360" w:lineRule="auto"/>
        <w:ind w:firstLine="480" w:firstLineChars="200"/>
        <w:rPr>
          <w:rFonts w:hAnsi="宋体"/>
          <w:bCs/>
          <w:sz w:val="24"/>
          <w:szCs w:val="24"/>
        </w:rPr>
      </w:pPr>
      <w:r>
        <w:rPr>
          <w:rFonts w:hint="eastAsia" w:hAnsi="宋体"/>
          <w:bCs/>
          <w:sz w:val="24"/>
          <w:szCs w:val="24"/>
        </w:rPr>
        <w:t>地址：</w:t>
      </w:r>
      <w:r>
        <w:rPr>
          <w:rFonts w:hAnsi="宋体"/>
          <w:bCs/>
          <w:sz w:val="24"/>
          <w:szCs w:val="24"/>
        </w:rPr>
        <w:t>邮编</w:t>
      </w:r>
      <w:r>
        <w:rPr>
          <w:rFonts w:hint="eastAsia" w:hAnsi="宋体"/>
          <w:bCs/>
          <w:sz w:val="24"/>
          <w:szCs w:val="24"/>
        </w:rPr>
        <w:t>：</w:t>
      </w:r>
    </w:p>
    <w:p w14:paraId="0AE14178">
      <w:pPr>
        <w:pStyle w:val="15"/>
        <w:snapToGrid w:val="0"/>
        <w:spacing w:line="360" w:lineRule="auto"/>
        <w:ind w:firstLine="480" w:firstLineChars="200"/>
        <w:rPr>
          <w:rFonts w:hAnsi="宋体"/>
          <w:bCs/>
          <w:sz w:val="24"/>
          <w:szCs w:val="24"/>
          <w:u w:val="single"/>
        </w:rPr>
      </w:pPr>
      <w:r>
        <w:rPr>
          <w:rFonts w:hint="eastAsia" w:hAnsi="宋体"/>
          <w:bCs/>
          <w:sz w:val="24"/>
          <w:szCs w:val="24"/>
        </w:rPr>
        <w:t>联系人：</w:t>
      </w:r>
      <w:r>
        <w:rPr>
          <w:rFonts w:hAnsi="宋体"/>
          <w:bCs/>
          <w:sz w:val="24"/>
          <w:szCs w:val="24"/>
        </w:rPr>
        <w:t>联系</w:t>
      </w:r>
      <w:r>
        <w:rPr>
          <w:rFonts w:hint="eastAsia" w:hAnsi="宋体"/>
          <w:bCs/>
          <w:sz w:val="24"/>
          <w:szCs w:val="24"/>
        </w:rPr>
        <w:t>电话：</w:t>
      </w:r>
    </w:p>
    <w:p w14:paraId="785AE30A">
      <w:pPr>
        <w:pStyle w:val="15"/>
        <w:snapToGrid w:val="0"/>
        <w:spacing w:line="360" w:lineRule="auto"/>
        <w:ind w:firstLine="480" w:firstLineChars="200"/>
        <w:rPr>
          <w:rFonts w:hAnsi="宋体"/>
          <w:bCs/>
          <w:sz w:val="24"/>
          <w:szCs w:val="24"/>
        </w:rPr>
      </w:pPr>
      <w:r>
        <w:rPr>
          <w:rFonts w:hint="eastAsia" w:hAnsi="宋体"/>
          <w:bCs/>
          <w:sz w:val="24"/>
          <w:szCs w:val="24"/>
        </w:rPr>
        <w:t>被投诉人2：</w:t>
      </w:r>
    </w:p>
    <w:p w14:paraId="53C67540">
      <w:pPr>
        <w:pStyle w:val="15"/>
        <w:snapToGrid w:val="0"/>
        <w:spacing w:line="360" w:lineRule="auto"/>
        <w:ind w:firstLine="480" w:firstLineChars="200"/>
        <w:rPr>
          <w:rFonts w:hAnsi="宋体"/>
          <w:bCs/>
          <w:sz w:val="24"/>
          <w:szCs w:val="24"/>
        </w:rPr>
      </w:pPr>
      <w:r>
        <w:rPr>
          <w:rFonts w:hAnsi="宋体"/>
          <w:bCs/>
          <w:sz w:val="24"/>
          <w:szCs w:val="24"/>
        </w:rPr>
        <w:t>……</w:t>
      </w:r>
    </w:p>
    <w:p w14:paraId="27BFEA10">
      <w:pPr>
        <w:pStyle w:val="15"/>
        <w:snapToGrid w:val="0"/>
        <w:spacing w:line="360" w:lineRule="auto"/>
        <w:ind w:firstLine="480" w:firstLineChars="200"/>
        <w:rPr>
          <w:rFonts w:hAnsi="宋体"/>
          <w:bCs/>
          <w:sz w:val="24"/>
          <w:szCs w:val="24"/>
          <w:u w:val="single"/>
        </w:rPr>
      </w:pPr>
      <w:r>
        <w:rPr>
          <w:rFonts w:hint="eastAsia" w:hAnsi="宋体"/>
          <w:bCs/>
          <w:sz w:val="24"/>
          <w:szCs w:val="24"/>
        </w:rPr>
        <w:t>相关供应商：</w:t>
      </w:r>
    </w:p>
    <w:p w14:paraId="27354F8F">
      <w:pPr>
        <w:pStyle w:val="15"/>
        <w:snapToGrid w:val="0"/>
        <w:spacing w:line="360" w:lineRule="auto"/>
        <w:ind w:firstLine="480" w:firstLineChars="200"/>
        <w:rPr>
          <w:rFonts w:hAnsi="宋体"/>
          <w:bCs/>
          <w:sz w:val="24"/>
          <w:szCs w:val="24"/>
          <w:u w:val="single"/>
        </w:rPr>
      </w:pPr>
      <w:r>
        <w:rPr>
          <w:rFonts w:hAnsi="宋体"/>
          <w:bCs/>
          <w:sz w:val="24"/>
          <w:szCs w:val="24"/>
        </w:rPr>
        <w:t>地址</w:t>
      </w:r>
      <w:r>
        <w:rPr>
          <w:rFonts w:hint="eastAsia" w:hAnsi="宋体"/>
          <w:bCs/>
          <w:sz w:val="24"/>
          <w:szCs w:val="24"/>
        </w:rPr>
        <w:t>：</w:t>
      </w:r>
      <w:r>
        <w:rPr>
          <w:rFonts w:hAnsi="宋体"/>
          <w:bCs/>
          <w:sz w:val="24"/>
          <w:szCs w:val="24"/>
        </w:rPr>
        <w:t>邮编</w:t>
      </w:r>
      <w:r>
        <w:rPr>
          <w:rFonts w:hint="eastAsia" w:hAnsi="宋体"/>
          <w:bCs/>
          <w:sz w:val="24"/>
          <w:szCs w:val="24"/>
        </w:rPr>
        <w:t>：</w:t>
      </w:r>
    </w:p>
    <w:p w14:paraId="542119B5">
      <w:pPr>
        <w:pStyle w:val="15"/>
        <w:snapToGrid w:val="0"/>
        <w:spacing w:line="360" w:lineRule="auto"/>
        <w:ind w:firstLine="480" w:firstLineChars="200"/>
        <w:rPr>
          <w:rFonts w:hAnsi="宋体"/>
          <w:bCs/>
          <w:sz w:val="24"/>
          <w:szCs w:val="24"/>
        </w:rPr>
      </w:pPr>
      <w:r>
        <w:rPr>
          <w:rFonts w:hint="eastAsia" w:hAnsi="宋体"/>
          <w:bCs/>
          <w:sz w:val="24"/>
          <w:szCs w:val="24"/>
        </w:rPr>
        <w:t>联系人：</w:t>
      </w:r>
      <w:r>
        <w:rPr>
          <w:rFonts w:hAnsi="宋体"/>
          <w:bCs/>
          <w:sz w:val="24"/>
          <w:szCs w:val="24"/>
        </w:rPr>
        <w:t>联系</w:t>
      </w:r>
      <w:r>
        <w:rPr>
          <w:rFonts w:hint="eastAsia" w:hAnsi="宋体"/>
          <w:bCs/>
          <w:sz w:val="24"/>
          <w:szCs w:val="24"/>
        </w:rPr>
        <w:t>电话：</w:t>
      </w:r>
    </w:p>
    <w:p w14:paraId="118F8B86">
      <w:pPr>
        <w:pStyle w:val="15"/>
        <w:snapToGrid w:val="0"/>
        <w:spacing w:line="360" w:lineRule="auto"/>
        <w:ind w:firstLine="482" w:firstLineChars="200"/>
        <w:rPr>
          <w:rFonts w:hAnsi="宋体"/>
          <w:b/>
          <w:bCs/>
          <w:sz w:val="24"/>
          <w:szCs w:val="24"/>
        </w:rPr>
      </w:pPr>
      <w:r>
        <w:rPr>
          <w:rFonts w:hint="eastAsia" w:hAnsi="宋体"/>
          <w:b/>
          <w:bCs/>
          <w:sz w:val="24"/>
          <w:szCs w:val="24"/>
        </w:rPr>
        <w:t>二、投诉项目基本情况：</w:t>
      </w:r>
    </w:p>
    <w:p w14:paraId="6F66DFEA">
      <w:pPr>
        <w:pStyle w:val="15"/>
        <w:spacing w:line="360" w:lineRule="auto"/>
        <w:ind w:left="25" w:leftChars="12" w:firstLine="472" w:firstLineChars="197"/>
        <w:rPr>
          <w:rFonts w:hAnsi="宋体"/>
          <w:sz w:val="24"/>
          <w:szCs w:val="24"/>
        </w:rPr>
      </w:pPr>
      <w:r>
        <w:rPr>
          <w:rFonts w:hint="eastAsia" w:hAnsi="宋体"/>
          <w:bCs/>
          <w:sz w:val="24"/>
          <w:szCs w:val="24"/>
        </w:rPr>
        <w:t>采购</w:t>
      </w:r>
      <w:r>
        <w:rPr>
          <w:rFonts w:hint="eastAsia" w:hAnsi="宋体"/>
          <w:sz w:val="24"/>
          <w:szCs w:val="24"/>
        </w:rPr>
        <w:t>项目的名称：</w:t>
      </w:r>
    </w:p>
    <w:p w14:paraId="751187C0">
      <w:pPr>
        <w:pStyle w:val="15"/>
        <w:spacing w:line="360" w:lineRule="auto"/>
        <w:ind w:left="25" w:leftChars="12" w:firstLine="472" w:firstLineChars="197"/>
        <w:rPr>
          <w:rFonts w:hAnsi="宋体"/>
          <w:sz w:val="24"/>
          <w:szCs w:val="24"/>
        </w:rPr>
      </w:pPr>
      <w:r>
        <w:rPr>
          <w:rFonts w:hint="eastAsia" w:hAnsi="宋体"/>
          <w:bCs/>
          <w:sz w:val="24"/>
          <w:szCs w:val="24"/>
        </w:rPr>
        <w:t>采购</w:t>
      </w:r>
      <w:r>
        <w:rPr>
          <w:rFonts w:hint="eastAsia" w:hAnsi="宋体"/>
          <w:sz w:val="24"/>
          <w:szCs w:val="24"/>
        </w:rPr>
        <w:t>项目的编号：</w:t>
      </w:r>
    </w:p>
    <w:p w14:paraId="690E5880">
      <w:pPr>
        <w:pStyle w:val="15"/>
        <w:spacing w:line="360" w:lineRule="auto"/>
        <w:ind w:left="25" w:leftChars="12" w:firstLine="472" w:firstLineChars="197"/>
        <w:rPr>
          <w:rFonts w:hAnsi="宋体"/>
          <w:bCs/>
          <w:sz w:val="24"/>
          <w:szCs w:val="24"/>
          <w:u w:val="single"/>
        </w:rPr>
      </w:pPr>
      <w:r>
        <w:rPr>
          <w:rFonts w:hint="eastAsia" w:hAnsi="宋体"/>
          <w:sz w:val="24"/>
          <w:szCs w:val="24"/>
        </w:rPr>
        <w:t>采购人名称：</w:t>
      </w:r>
    </w:p>
    <w:p w14:paraId="73ECA595">
      <w:pPr>
        <w:pStyle w:val="15"/>
        <w:spacing w:line="360" w:lineRule="auto"/>
        <w:ind w:left="25" w:leftChars="12" w:firstLine="472" w:firstLineChars="197"/>
        <w:rPr>
          <w:rFonts w:hAnsi="宋体"/>
          <w:bCs/>
          <w:sz w:val="24"/>
          <w:szCs w:val="24"/>
          <w:u w:val="single"/>
        </w:rPr>
      </w:pPr>
      <w:r>
        <w:rPr>
          <w:rFonts w:hint="eastAsia" w:hAnsi="宋体"/>
          <w:sz w:val="24"/>
          <w:szCs w:val="24"/>
        </w:rPr>
        <w:t>代理机构名称：</w:t>
      </w:r>
    </w:p>
    <w:p w14:paraId="02EEF7BF">
      <w:pPr>
        <w:pStyle w:val="15"/>
        <w:spacing w:line="360" w:lineRule="auto"/>
        <w:ind w:left="25" w:leftChars="12" w:firstLine="472" w:firstLineChars="197"/>
        <w:rPr>
          <w:rFonts w:hAnsi="宋体"/>
          <w:bCs/>
          <w:sz w:val="24"/>
          <w:szCs w:val="24"/>
          <w:u w:val="single"/>
        </w:rPr>
      </w:pPr>
      <w:r>
        <w:rPr>
          <w:rFonts w:hint="eastAsia" w:hAnsi="宋体"/>
          <w:bCs/>
          <w:sz w:val="24"/>
          <w:szCs w:val="24"/>
        </w:rPr>
        <w:t>招标文件公告：</w:t>
      </w:r>
      <w:r>
        <w:rPr>
          <w:rFonts w:hint="eastAsia" w:hAnsi="宋体"/>
          <w:bCs/>
          <w:sz w:val="24"/>
          <w:szCs w:val="24"/>
          <w:u w:val="single"/>
        </w:rPr>
        <w:t>是/否</w:t>
      </w:r>
      <w:r>
        <w:rPr>
          <w:rFonts w:hint="eastAsia" w:hAnsi="宋体"/>
          <w:bCs/>
          <w:sz w:val="24"/>
          <w:szCs w:val="24"/>
        </w:rPr>
        <w:t>公告期限：</w:t>
      </w:r>
    </w:p>
    <w:p w14:paraId="6DFA518C">
      <w:pPr>
        <w:pStyle w:val="15"/>
        <w:spacing w:line="360" w:lineRule="auto"/>
        <w:ind w:left="25" w:leftChars="12" w:firstLine="472" w:firstLineChars="197"/>
        <w:rPr>
          <w:rFonts w:hAnsi="宋体"/>
          <w:b/>
          <w:sz w:val="24"/>
          <w:szCs w:val="24"/>
        </w:rPr>
      </w:pPr>
      <w:r>
        <w:rPr>
          <w:rFonts w:hint="eastAsia" w:hAnsi="宋体"/>
          <w:bCs/>
          <w:sz w:val="24"/>
          <w:szCs w:val="24"/>
        </w:rPr>
        <w:t>采购结果公告：</w:t>
      </w:r>
      <w:r>
        <w:rPr>
          <w:rFonts w:hint="eastAsia" w:hAnsi="宋体"/>
          <w:bCs/>
          <w:sz w:val="24"/>
          <w:szCs w:val="24"/>
          <w:u w:val="single"/>
        </w:rPr>
        <w:t>是/否</w:t>
      </w:r>
      <w:r>
        <w:rPr>
          <w:rFonts w:hint="eastAsia" w:hAnsi="宋体"/>
          <w:bCs/>
          <w:sz w:val="24"/>
          <w:szCs w:val="24"/>
        </w:rPr>
        <w:t>公告期限：</w:t>
      </w:r>
    </w:p>
    <w:p w14:paraId="2E7D9179">
      <w:pPr>
        <w:pStyle w:val="15"/>
        <w:spacing w:line="360" w:lineRule="auto"/>
        <w:ind w:left="25" w:leftChars="12" w:firstLine="472" w:firstLineChars="196"/>
        <w:rPr>
          <w:rFonts w:hAnsi="宋体"/>
          <w:b/>
          <w:sz w:val="24"/>
          <w:szCs w:val="24"/>
        </w:rPr>
      </w:pPr>
      <w:r>
        <w:rPr>
          <w:rFonts w:hint="eastAsia" w:hAnsi="宋体"/>
          <w:b/>
          <w:sz w:val="24"/>
          <w:szCs w:val="24"/>
        </w:rPr>
        <w:t>三、质疑基本情况</w:t>
      </w:r>
    </w:p>
    <w:p w14:paraId="66EFF67C">
      <w:pPr>
        <w:pStyle w:val="15"/>
        <w:spacing w:line="360" w:lineRule="auto"/>
        <w:ind w:left="25" w:leftChars="12" w:firstLine="952" w:firstLineChars="397"/>
        <w:rPr>
          <w:rFonts w:hAnsi="宋体"/>
          <w:sz w:val="24"/>
          <w:szCs w:val="24"/>
        </w:rPr>
      </w:pPr>
      <w:r>
        <w:rPr>
          <w:rFonts w:hint="eastAsia" w:hAnsi="宋体"/>
          <w:sz w:val="24"/>
          <w:szCs w:val="24"/>
        </w:rPr>
        <w:t>投诉人于年月日，向提出质疑，质疑事项为：</w:t>
      </w:r>
    </w:p>
    <w:p w14:paraId="1FCA55F7">
      <w:pPr>
        <w:pStyle w:val="15"/>
        <w:spacing w:line="360" w:lineRule="auto"/>
        <w:ind w:firstLine="241"/>
        <w:rPr>
          <w:rFonts w:hAnsi="宋体"/>
          <w:bCs/>
          <w:sz w:val="24"/>
          <w:szCs w:val="24"/>
          <w:u w:val="single"/>
        </w:rPr>
      </w:pPr>
    </w:p>
    <w:p w14:paraId="60D15BDD">
      <w:pPr>
        <w:pStyle w:val="15"/>
        <w:spacing w:line="360" w:lineRule="auto"/>
        <w:ind w:firstLine="241"/>
        <w:rPr>
          <w:rFonts w:hAnsi="宋体"/>
          <w:bCs/>
          <w:sz w:val="24"/>
          <w:szCs w:val="24"/>
          <w:u w:val="single"/>
        </w:rPr>
      </w:pPr>
    </w:p>
    <w:p w14:paraId="64E52214">
      <w:pPr>
        <w:pStyle w:val="15"/>
        <w:spacing w:line="360" w:lineRule="auto"/>
        <w:ind w:firstLine="241"/>
        <w:rPr>
          <w:rFonts w:hAnsi="宋体"/>
          <w:sz w:val="24"/>
          <w:szCs w:val="24"/>
        </w:rPr>
      </w:pPr>
      <w:r>
        <w:rPr>
          <w:rFonts w:hint="eastAsia" w:hAnsi="宋体"/>
          <w:bCs/>
          <w:sz w:val="24"/>
          <w:szCs w:val="24"/>
          <w:u w:val="single"/>
        </w:rPr>
        <w:t>采购人/代理机构</w:t>
      </w:r>
      <w:r>
        <w:rPr>
          <w:rFonts w:hint="eastAsia" w:hAnsi="宋体"/>
          <w:bCs/>
          <w:sz w:val="24"/>
          <w:szCs w:val="24"/>
        </w:rPr>
        <w:t>于</w:t>
      </w:r>
      <w:r>
        <w:rPr>
          <w:rFonts w:hint="eastAsia" w:hAnsi="宋体"/>
          <w:sz w:val="24"/>
          <w:szCs w:val="24"/>
        </w:rPr>
        <w:t>年月日，</w:t>
      </w:r>
      <w:r>
        <w:rPr>
          <w:rFonts w:hint="eastAsia" w:hAnsi="宋体"/>
          <w:bCs/>
          <w:sz w:val="24"/>
          <w:szCs w:val="24"/>
        </w:rPr>
        <w:t xml:space="preserve">就质疑事项作出了答复/没有在法定期限内作出答复。                                                                                             </w:t>
      </w:r>
    </w:p>
    <w:p w14:paraId="0B197721">
      <w:pPr>
        <w:pStyle w:val="15"/>
        <w:spacing w:line="360" w:lineRule="auto"/>
        <w:ind w:left="25" w:leftChars="12" w:firstLine="472" w:firstLineChars="196"/>
        <w:rPr>
          <w:rFonts w:hAnsi="宋体"/>
          <w:b/>
          <w:sz w:val="24"/>
          <w:szCs w:val="24"/>
        </w:rPr>
      </w:pPr>
      <w:r>
        <w:rPr>
          <w:rFonts w:hint="eastAsia" w:hAnsi="宋体"/>
          <w:b/>
          <w:sz w:val="24"/>
          <w:szCs w:val="24"/>
        </w:rPr>
        <w:t>四、投诉事项具体内容</w:t>
      </w:r>
    </w:p>
    <w:p w14:paraId="0284A8EB">
      <w:pPr>
        <w:pStyle w:val="15"/>
        <w:spacing w:line="360" w:lineRule="auto"/>
        <w:ind w:left="25" w:leftChars="12" w:firstLine="472" w:firstLineChars="197"/>
        <w:rPr>
          <w:rFonts w:hAnsi="宋体"/>
          <w:bCs/>
          <w:sz w:val="24"/>
          <w:szCs w:val="24"/>
          <w:u w:val="single"/>
        </w:rPr>
      </w:pPr>
      <w:r>
        <w:rPr>
          <w:rFonts w:hint="eastAsia" w:hAnsi="宋体"/>
          <w:sz w:val="24"/>
          <w:szCs w:val="24"/>
        </w:rPr>
        <w:t>投诉事项1：</w:t>
      </w:r>
    </w:p>
    <w:p w14:paraId="24DBCB0D">
      <w:pPr>
        <w:pStyle w:val="15"/>
        <w:spacing w:line="360" w:lineRule="auto"/>
        <w:ind w:firstLine="480" w:firstLineChars="200"/>
        <w:rPr>
          <w:rFonts w:hAnsi="宋体"/>
          <w:bCs/>
          <w:sz w:val="24"/>
          <w:szCs w:val="24"/>
          <w:u w:val="single"/>
        </w:rPr>
      </w:pPr>
      <w:r>
        <w:rPr>
          <w:rFonts w:hint="eastAsia" w:hAnsi="宋体"/>
          <w:bCs/>
          <w:sz w:val="24"/>
          <w:szCs w:val="24"/>
        </w:rPr>
        <w:t>事实依据：</w:t>
      </w:r>
    </w:p>
    <w:p w14:paraId="42E7448F">
      <w:pPr>
        <w:pStyle w:val="15"/>
        <w:spacing w:line="360" w:lineRule="auto"/>
        <w:ind w:left="25" w:leftChars="12" w:firstLine="472" w:firstLineChars="197"/>
        <w:rPr>
          <w:rFonts w:hAnsi="宋体"/>
          <w:sz w:val="24"/>
          <w:szCs w:val="24"/>
        </w:rPr>
      </w:pPr>
    </w:p>
    <w:p w14:paraId="54739413">
      <w:pPr>
        <w:pStyle w:val="15"/>
        <w:spacing w:line="360" w:lineRule="auto"/>
        <w:ind w:firstLine="480" w:firstLineChars="200"/>
        <w:rPr>
          <w:rFonts w:hAnsi="宋体"/>
          <w:bCs/>
          <w:sz w:val="24"/>
          <w:szCs w:val="24"/>
          <w:u w:val="single"/>
        </w:rPr>
      </w:pPr>
      <w:r>
        <w:rPr>
          <w:rFonts w:hint="eastAsia" w:hAnsi="宋体"/>
          <w:bCs/>
          <w:sz w:val="24"/>
          <w:szCs w:val="24"/>
        </w:rPr>
        <w:t>法律依据：</w:t>
      </w:r>
    </w:p>
    <w:p w14:paraId="2D4690F7">
      <w:pPr>
        <w:pStyle w:val="15"/>
        <w:spacing w:line="360" w:lineRule="auto"/>
        <w:ind w:left="25" w:leftChars="12" w:firstLine="352" w:firstLineChars="147"/>
        <w:rPr>
          <w:rFonts w:hAnsi="宋体"/>
          <w:bCs/>
          <w:sz w:val="24"/>
          <w:szCs w:val="24"/>
          <w:u w:val="single"/>
        </w:rPr>
      </w:pPr>
    </w:p>
    <w:p w14:paraId="41A3E822">
      <w:pPr>
        <w:pStyle w:val="15"/>
        <w:spacing w:line="360" w:lineRule="auto"/>
        <w:ind w:left="25" w:leftChars="12" w:firstLine="472" w:firstLineChars="197"/>
        <w:rPr>
          <w:rFonts w:hAnsi="宋体"/>
          <w:bCs/>
          <w:sz w:val="24"/>
          <w:szCs w:val="24"/>
        </w:rPr>
      </w:pPr>
      <w:r>
        <w:rPr>
          <w:rFonts w:hint="eastAsia" w:hAnsi="宋体"/>
          <w:sz w:val="24"/>
          <w:szCs w:val="24"/>
        </w:rPr>
        <w:t xml:space="preserve">投诉事项2  </w:t>
      </w:r>
    </w:p>
    <w:p w14:paraId="4EDC9C33">
      <w:pPr>
        <w:pStyle w:val="15"/>
        <w:spacing w:line="360" w:lineRule="auto"/>
        <w:ind w:left="25" w:leftChars="12" w:firstLine="472" w:firstLineChars="197"/>
        <w:rPr>
          <w:rFonts w:hAnsi="宋体"/>
          <w:bCs/>
          <w:sz w:val="24"/>
          <w:szCs w:val="24"/>
        </w:rPr>
      </w:pPr>
      <w:r>
        <w:rPr>
          <w:rFonts w:hAnsi="宋体"/>
          <w:bCs/>
          <w:sz w:val="24"/>
          <w:szCs w:val="24"/>
        </w:rPr>
        <w:t>……</w:t>
      </w:r>
    </w:p>
    <w:p w14:paraId="14FB63BB">
      <w:pPr>
        <w:pStyle w:val="15"/>
        <w:spacing w:line="360" w:lineRule="auto"/>
        <w:ind w:left="25" w:leftChars="12" w:firstLine="472" w:firstLineChars="196"/>
        <w:rPr>
          <w:rFonts w:hAnsi="宋体"/>
          <w:b/>
          <w:sz w:val="24"/>
          <w:szCs w:val="24"/>
        </w:rPr>
      </w:pPr>
      <w:r>
        <w:rPr>
          <w:rFonts w:hint="eastAsia" w:hAnsi="宋体"/>
          <w:b/>
          <w:sz w:val="24"/>
          <w:szCs w:val="24"/>
        </w:rPr>
        <w:t>五、与投诉事项相关的投诉请求：</w:t>
      </w:r>
    </w:p>
    <w:p w14:paraId="3757E757">
      <w:pPr>
        <w:pStyle w:val="15"/>
        <w:spacing w:line="360" w:lineRule="auto"/>
        <w:ind w:left="25" w:leftChars="12" w:firstLine="472" w:firstLineChars="197"/>
        <w:rPr>
          <w:rFonts w:hAnsi="宋体"/>
          <w:sz w:val="24"/>
          <w:szCs w:val="24"/>
        </w:rPr>
      </w:pPr>
      <w:r>
        <w:rPr>
          <w:rFonts w:hint="eastAsia" w:hAnsi="宋体"/>
          <w:sz w:val="24"/>
          <w:szCs w:val="24"/>
        </w:rPr>
        <w:t>请求：</w:t>
      </w:r>
    </w:p>
    <w:p w14:paraId="7F836D38">
      <w:pPr>
        <w:pStyle w:val="15"/>
        <w:spacing w:line="360" w:lineRule="auto"/>
        <w:ind w:left="25" w:leftChars="12" w:firstLine="352" w:firstLineChars="147"/>
        <w:rPr>
          <w:rFonts w:hAnsi="宋体"/>
          <w:sz w:val="24"/>
          <w:szCs w:val="24"/>
        </w:rPr>
      </w:pPr>
    </w:p>
    <w:p w14:paraId="63B0ACFB">
      <w:pPr>
        <w:pStyle w:val="15"/>
        <w:spacing w:line="360" w:lineRule="auto"/>
        <w:ind w:left="25" w:leftChars="12" w:firstLine="472" w:firstLineChars="197"/>
        <w:rPr>
          <w:rFonts w:hAnsi="宋体"/>
          <w:sz w:val="24"/>
          <w:szCs w:val="24"/>
        </w:rPr>
      </w:pPr>
      <w:r>
        <w:rPr>
          <w:rFonts w:hint="eastAsia" w:hAnsi="宋体"/>
          <w:sz w:val="24"/>
          <w:szCs w:val="24"/>
        </w:rPr>
        <w:t>签字（签章）：                                       公章：</w:t>
      </w:r>
    </w:p>
    <w:p w14:paraId="78F8E604">
      <w:pPr>
        <w:pStyle w:val="15"/>
        <w:spacing w:line="360" w:lineRule="auto"/>
        <w:ind w:left="25" w:leftChars="12" w:firstLine="352" w:firstLineChars="147"/>
        <w:rPr>
          <w:rFonts w:hAnsi="宋体"/>
          <w:sz w:val="24"/>
          <w:szCs w:val="24"/>
        </w:rPr>
      </w:pPr>
    </w:p>
    <w:p w14:paraId="0D135091">
      <w:pPr>
        <w:pStyle w:val="15"/>
        <w:spacing w:line="360" w:lineRule="auto"/>
        <w:ind w:left="25" w:leftChars="12" w:firstLine="472" w:firstLineChars="197"/>
        <w:rPr>
          <w:rFonts w:hAnsi="宋体"/>
          <w:sz w:val="24"/>
          <w:szCs w:val="24"/>
        </w:rPr>
      </w:pPr>
      <w:r>
        <w:rPr>
          <w:rFonts w:hint="eastAsia" w:hAnsi="宋体"/>
          <w:sz w:val="24"/>
          <w:szCs w:val="24"/>
        </w:rPr>
        <w:t>日期：</w:t>
      </w:r>
    </w:p>
    <w:p w14:paraId="64024474">
      <w:pPr>
        <w:pStyle w:val="15"/>
        <w:spacing w:line="360" w:lineRule="auto"/>
        <w:ind w:left="25" w:leftChars="12" w:firstLine="472" w:firstLineChars="197"/>
        <w:rPr>
          <w:rFonts w:hAnsi="宋体"/>
          <w:sz w:val="24"/>
          <w:szCs w:val="24"/>
        </w:rPr>
      </w:pPr>
    </w:p>
    <w:p w14:paraId="7ACBE5AA">
      <w:pPr>
        <w:pStyle w:val="15"/>
        <w:snapToGrid w:val="0"/>
        <w:spacing w:line="360" w:lineRule="auto"/>
        <w:rPr>
          <w:rFonts w:hAnsi="宋体"/>
          <w:b/>
          <w:sz w:val="24"/>
          <w:szCs w:val="24"/>
        </w:rPr>
      </w:pPr>
      <w:r>
        <w:rPr>
          <w:rFonts w:hint="eastAsia" w:hAnsi="宋体"/>
          <w:b/>
          <w:sz w:val="24"/>
          <w:szCs w:val="24"/>
        </w:rPr>
        <w:t>说明：</w:t>
      </w:r>
    </w:p>
    <w:p w14:paraId="58A3001E">
      <w:pPr>
        <w:pStyle w:val="15"/>
        <w:spacing w:line="360" w:lineRule="auto"/>
        <w:ind w:left="25" w:leftChars="12" w:firstLine="354" w:firstLineChars="147"/>
        <w:rPr>
          <w:rFonts w:hAnsi="宋体"/>
          <w:b/>
          <w:bCs/>
          <w:sz w:val="24"/>
          <w:szCs w:val="24"/>
        </w:rPr>
      </w:pPr>
      <w:r>
        <w:rPr>
          <w:rFonts w:hint="eastAsia" w:hAnsi="宋体"/>
          <w:b/>
          <w:sz w:val="24"/>
          <w:szCs w:val="24"/>
        </w:rPr>
        <w:t>1.投诉人提起投诉时，应当提交投诉书和必要的证明材料，并按照被投诉人和与投诉事项有关的供应商数量提供投诉书副本</w:t>
      </w:r>
      <w:r>
        <w:rPr>
          <w:rFonts w:hint="eastAsia" w:hAnsi="宋体"/>
          <w:b/>
          <w:bCs/>
          <w:sz w:val="24"/>
          <w:szCs w:val="24"/>
        </w:rPr>
        <w:t>。</w:t>
      </w:r>
    </w:p>
    <w:p w14:paraId="1E5E01B7">
      <w:pPr>
        <w:pStyle w:val="15"/>
        <w:spacing w:line="360" w:lineRule="auto"/>
        <w:ind w:left="25" w:leftChars="12" w:firstLine="354" w:firstLineChars="147"/>
        <w:rPr>
          <w:rFonts w:hAnsi="宋体"/>
          <w:b/>
          <w:sz w:val="24"/>
          <w:szCs w:val="24"/>
        </w:rPr>
      </w:pPr>
      <w:r>
        <w:rPr>
          <w:rFonts w:hint="eastAsia" w:hAnsi="宋体"/>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BFA1EFF">
      <w:pPr>
        <w:pStyle w:val="15"/>
        <w:spacing w:line="360" w:lineRule="auto"/>
        <w:ind w:left="25" w:leftChars="12" w:firstLine="354" w:firstLineChars="147"/>
        <w:rPr>
          <w:rFonts w:hAnsi="宋体"/>
          <w:b/>
          <w:sz w:val="24"/>
          <w:szCs w:val="24"/>
        </w:rPr>
      </w:pPr>
      <w:r>
        <w:rPr>
          <w:rFonts w:hint="eastAsia" w:hAnsi="宋体"/>
          <w:b/>
          <w:sz w:val="24"/>
          <w:szCs w:val="24"/>
        </w:rPr>
        <w:t>3.投诉书应简要列明质疑事项，质疑函、质疑答复等作为附件材料提供。</w:t>
      </w:r>
    </w:p>
    <w:p w14:paraId="2575E59F">
      <w:pPr>
        <w:pStyle w:val="15"/>
        <w:spacing w:line="360" w:lineRule="auto"/>
        <w:ind w:left="25" w:leftChars="12" w:firstLine="354" w:firstLineChars="147"/>
        <w:rPr>
          <w:rFonts w:hAnsi="宋体"/>
          <w:b/>
          <w:sz w:val="24"/>
          <w:szCs w:val="24"/>
        </w:rPr>
      </w:pPr>
      <w:r>
        <w:rPr>
          <w:rFonts w:hint="eastAsia" w:hAnsi="宋体"/>
          <w:b/>
          <w:sz w:val="24"/>
          <w:szCs w:val="24"/>
        </w:rPr>
        <w:t>4.投诉书的投诉事项应具体、明确，并有必要的事实依据和法律依据。</w:t>
      </w:r>
    </w:p>
    <w:p w14:paraId="7B7EE378">
      <w:pPr>
        <w:pStyle w:val="15"/>
        <w:spacing w:line="360" w:lineRule="auto"/>
        <w:ind w:left="25" w:leftChars="12" w:firstLine="354" w:firstLineChars="147"/>
        <w:rPr>
          <w:rFonts w:hAnsi="宋体"/>
          <w:b/>
          <w:sz w:val="24"/>
          <w:szCs w:val="24"/>
        </w:rPr>
      </w:pPr>
      <w:r>
        <w:rPr>
          <w:rFonts w:hint="eastAsia" w:hAnsi="宋体"/>
          <w:b/>
          <w:sz w:val="24"/>
          <w:szCs w:val="24"/>
        </w:rPr>
        <w:t>5.投诉书的投诉请求应与投诉事项相关。</w:t>
      </w:r>
    </w:p>
    <w:p w14:paraId="35996709">
      <w:pPr>
        <w:pStyle w:val="15"/>
        <w:spacing w:line="360" w:lineRule="auto"/>
        <w:ind w:left="25" w:leftChars="12" w:firstLine="354" w:firstLineChars="147"/>
        <w:rPr>
          <w:rFonts w:hAnsi="宋体"/>
          <w:b/>
        </w:rPr>
      </w:pPr>
      <w:r>
        <w:rPr>
          <w:rFonts w:hint="eastAsia" w:hAnsi="宋体"/>
          <w:b/>
          <w:sz w:val="24"/>
          <w:szCs w:val="24"/>
        </w:rPr>
        <w:t>6.投诉人为法人或者其他组织的，投诉书应由法定代表人、主要负责人，或者其授权代表签字或者盖章，并加盖公章。</w:t>
      </w:r>
    </w:p>
    <w:p w14:paraId="3BAE4A84"/>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华文新魏">
    <w:altName w:val="宋体"/>
    <w:panose1 w:val="00000000000000000000"/>
    <w:charset w:val="86"/>
    <w:family w:val="auto"/>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Helvetica">
    <w:altName w:val="Arial"/>
    <w:panose1 w:val="020B0604020202020204"/>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0388B">
    <w:pPr>
      <w:pStyle w:val="17"/>
      <w:framePr w:wrap="around" w:vAnchor="text" w:hAnchor="margin" w:xAlign="center" w:y="1"/>
      <w:rPr>
        <w:rStyle w:val="29"/>
      </w:rPr>
    </w:pPr>
    <w:r>
      <w:fldChar w:fldCharType="begin"/>
    </w:r>
    <w:r>
      <w:rPr>
        <w:rStyle w:val="29"/>
      </w:rPr>
      <w:instrText xml:space="preserve">PAGE  </w:instrText>
    </w:r>
    <w:r>
      <w:fldChar w:fldCharType="end"/>
    </w:r>
  </w:p>
  <w:p w14:paraId="23E2A1C2">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03F2C">
    <w:pPr>
      <w:pStyle w:val="17"/>
      <w:ind w:right="360"/>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EF412">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4A5A2D7">
                          <w:pPr>
                            <w:pStyle w:val="1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neNpqzAEAAKcDAAAOAAAAAAAAAAEAIAAAAB4BAABkcnMvZTJv&#10;RG9jLnhtbFBLBQYAAAAABgAGAFkBAABcBQAAAAA=&#10;">
              <v:fill on="f" focussize="0,0"/>
              <v:stroke on="f"/>
              <v:imagedata o:title=""/>
              <o:lock v:ext="edit" aspectratio="f"/>
              <v:textbox inset="0mm,0mm,0mm,0mm" style="mso-fit-shape-to-text:t;">
                <w:txbxContent>
                  <w:p w14:paraId="54A5A2D7">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F3BE7">
    <w:pPr>
      <w:tabs>
        <w:tab w:val="center" w:pos="4873"/>
      </w:tabs>
      <w:snapToGrid w:val="0"/>
      <w:jc w:val="left"/>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841C455">
                          <w:pPr>
                            <w:pStyle w:val="17"/>
                          </w:pPr>
                          <w:r>
                            <w:fldChar w:fldCharType="begin"/>
                          </w:r>
                          <w:r>
                            <w:instrText xml:space="preserve"> PAGE  \* MERGEFORMAT </w:instrText>
                          </w:r>
                          <w:r>
                            <w:fldChar w:fldCharType="separate"/>
                          </w:r>
                          <w:r>
                            <w:t>60</w:t>
                          </w:r>
                          <w: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7bGS180BAACnAwAADgAAAAAAAAABACAAAAAeAQAAZHJzL2Uy&#10;b0RvYy54bWxQSwUGAAAAAAYABgBZAQAAXQUAAAAA&#10;">
              <v:fill on="f" focussize="0,0"/>
              <v:stroke on="f"/>
              <v:imagedata o:title=""/>
              <o:lock v:ext="edit" aspectratio="f"/>
              <v:textbox inset="0mm,0mm,0mm,0mm" style="mso-fit-shape-to-text:t;">
                <w:txbxContent>
                  <w:p w14:paraId="6841C455">
                    <w:pPr>
                      <w:pStyle w:val="17"/>
                    </w:pPr>
                    <w:r>
                      <w:fldChar w:fldCharType="begin"/>
                    </w:r>
                    <w:r>
                      <w:instrText xml:space="preserve"> PAGE  \* MERGEFORMAT </w:instrText>
                    </w:r>
                    <w:r>
                      <w:fldChar w:fldCharType="separate"/>
                    </w:r>
                    <w:r>
                      <w:t>60</w:t>
                    </w:r>
                    <w:r>
                      <w:fldChar w:fldCharType="end"/>
                    </w:r>
                  </w:p>
                </w:txbxContent>
              </v:textbox>
            </v:shape>
          </w:pict>
        </mc:Fallback>
      </mc:AlternateContent>
    </w:r>
    <w:r>
      <w:rPr>
        <w:rFonts w:hint="eastAsia"/>
        <w:sz w:val="18"/>
        <w:szCs w:val="18"/>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C2F64">
    <w:pPr>
      <w:pStyle w:val="1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4A3B4B9">
                          <w:pPr>
                            <w:pStyle w:val="17"/>
                          </w:pPr>
                          <w:r>
                            <w:fldChar w:fldCharType="begin"/>
                          </w:r>
                          <w:r>
                            <w:instrText xml:space="preserve"> PAGE  \* MERGEFORMAT </w:instrText>
                          </w:r>
                          <w:r>
                            <w:fldChar w:fldCharType="separate"/>
                          </w:r>
                          <w:r>
                            <w:t>61</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cY1LUzAEAAKcDAAAOAAAAAAAAAAEAIAAAAB4BAABkcnMvZTJv&#10;RG9jLnhtbFBLBQYAAAAABgAGAFkBAABcBQAAAAA=&#10;">
              <v:fill on="f" focussize="0,0"/>
              <v:stroke on="f"/>
              <v:imagedata o:title=""/>
              <o:lock v:ext="edit" aspectratio="f"/>
              <v:textbox inset="0mm,0mm,0mm,0mm" style="mso-fit-shape-to-text:t;">
                <w:txbxContent>
                  <w:p w14:paraId="24A3B4B9">
                    <w:pPr>
                      <w:pStyle w:val="17"/>
                    </w:pPr>
                    <w:r>
                      <w:fldChar w:fldCharType="begin"/>
                    </w:r>
                    <w:r>
                      <w:instrText xml:space="preserve"> PAGE  \* MERGEFORMAT </w:instrText>
                    </w:r>
                    <w:r>
                      <w:fldChar w:fldCharType="separate"/>
                    </w:r>
                    <w:r>
                      <w:t>61</w:t>
                    </w:r>
                    <w:r>
                      <w:fldChar w:fldCharType="end"/>
                    </w:r>
                  </w:p>
                </w:txbxContent>
              </v:textbox>
            </v:shape>
          </w:pict>
        </mc:Fallback>
      </mc:AlternateContent>
    </w:r>
  </w:p>
  <w:p w14:paraId="4EFCE250">
    <w:pPr>
      <w:pStyle w:val="17"/>
    </w:pPr>
  </w:p>
  <w:p w14:paraId="07607C5C"/>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96E66">
    <w:pPr>
      <w:pStyle w:val="17"/>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0FD9120">
                          <w:pPr>
                            <w:pStyle w:val="17"/>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7UK180BAACpAwAADgAAAAAAAAABACAAAAAeAQAAZHJzL2Uy&#10;b0RvYy54bWxQSwUGAAAAAAYABgBZAQAAXQUAAAAA&#10;">
              <v:fill on="f" focussize="0,0"/>
              <v:stroke on="f"/>
              <v:imagedata o:title=""/>
              <o:lock v:ext="edit" aspectratio="f"/>
              <v:textbox inset="0mm,0mm,0mm,0mm" style="mso-fit-shape-to-text:t;">
                <w:txbxContent>
                  <w:p w14:paraId="60FD9120">
                    <w:pPr>
                      <w:pStyle w:val="17"/>
                    </w:pPr>
                    <w:r>
                      <w:fldChar w:fldCharType="begin"/>
                    </w:r>
                    <w:r>
                      <w:instrText xml:space="preserve"> PAGE  \* MERGEFORMAT </w:instrText>
                    </w:r>
                    <w:r>
                      <w:fldChar w:fldCharType="separate"/>
                    </w:r>
                    <w:r>
                      <w:t>90</w:t>
                    </w:r>
                    <w:r>
                      <w:fldChar w:fldCharType="end"/>
                    </w:r>
                  </w:p>
                </w:txbxContent>
              </v:textbox>
            </v:shape>
          </w:pict>
        </mc:Fallback>
      </mc:AlternateContent>
    </w:r>
  </w:p>
  <w:p w14:paraId="0F05BF7D">
    <w:pPr>
      <w:pStyle w:val="17"/>
    </w:pPr>
  </w:p>
  <w:p w14:paraId="216329B6"/>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993DF">
    <w:pPr>
      <w:pStyle w:val="17"/>
      <w:ind w:right="360"/>
      <w:jc w:val="both"/>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99F8662">
                          <w:pPr>
                            <w:pStyle w:val="17"/>
                          </w:pPr>
                          <w:r>
                            <w:fldChar w:fldCharType="begin"/>
                          </w:r>
                          <w:r>
                            <w:instrText xml:space="preserve"> PAGE  \* MERGEFORMAT </w:instrText>
                          </w:r>
                          <w:r>
                            <w:fldChar w:fldCharType="separate"/>
                          </w:r>
                          <w:r>
                            <w:t>100</w:t>
                          </w:r>
                          <w:r>
                            <w:fldChar w:fldCharType="end"/>
                          </w:r>
                        </w:p>
                      </w:txbxContent>
                    </wps:txbx>
                    <wps:bodyPr wrap="none" lIns="0" tIns="0" rIns="0" bIns="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iBKrH80BAACpAwAADgAAAAAAAAABACAAAAAeAQAAZHJzL2Uy&#10;b0RvYy54bWxQSwUGAAAAAAYABgBZAQAAXQUAAAAA&#10;">
              <v:fill on="f" focussize="0,0"/>
              <v:stroke on="f"/>
              <v:imagedata o:title=""/>
              <o:lock v:ext="edit" aspectratio="f"/>
              <v:textbox inset="0mm,0mm,0mm,0mm" style="mso-fit-shape-to-text:t;">
                <w:txbxContent>
                  <w:p w14:paraId="699F8662">
                    <w:pPr>
                      <w:pStyle w:val="17"/>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B9447">
    <w:pPr>
      <w:pStyle w:val="17"/>
      <w:tabs>
        <w:tab w:val="center" w:pos="4534"/>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5331FB9">
                          <w:pPr>
                            <w:pStyle w:val="17"/>
                          </w:pPr>
                          <w:r>
                            <w:fldChar w:fldCharType="begin"/>
                          </w:r>
                          <w:r>
                            <w:instrText xml:space="preserve"> PAGE  \* MERGEFORMAT </w:instrText>
                          </w:r>
                          <w:r>
                            <w:fldChar w:fldCharType="separate"/>
                          </w:r>
                          <w:r>
                            <w:t>115</w:t>
                          </w:r>
                          <w:r>
                            <w:fldChar w:fldCharType="end"/>
                          </w:r>
                        </w:p>
                      </w:txbxContent>
                    </wps:txbx>
                    <wps:bodyPr wrap="none" lIns="0" tIns="0" rIns="0" bIns="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P79Rrs0BAACpAwAADgAAAAAAAAABACAAAAAeAQAAZHJzL2Uy&#10;b0RvYy54bWxQSwUGAAAAAAYABgBZAQAAXQUAAAAA&#10;">
              <v:fill on="f" focussize="0,0"/>
              <v:stroke on="f"/>
              <v:imagedata o:title=""/>
              <o:lock v:ext="edit" aspectratio="f"/>
              <v:textbox inset="0mm,0mm,0mm,0mm" style="mso-fit-shape-to-text:t;">
                <w:txbxContent>
                  <w:p w14:paraId="05331FB9">
                    <w:pPr>
                      <w:pStyle w:val="17"/>
                    </w:pPr>
                    <w:r>
                      <w:fldChar w:fldCharType="begin"/>
                    </w:r>
                    <w:r>
                      <w:instrText xml:space="preserve"> PAGE  \* MERGEFORMAT </w:instrText>
                    </w:r>
                    <w:r>
                      <w:fldChar w:fldCharType="separate"/>
                    </w:r>
                    <w:r>
                      <w:t>115</w:t>
                    </w:r>
                    <w:r>
                      <w:fldChar w:fldCharType="end"/>
                    </w:r>
                  </w:p>
                </w:txbxContent>
              </v:textbox>
            </v:shape>
          </w:pict>
        </mc:Fallback>
      </mc:AlternateContent>
    </w:r>
    <w:r>
      <w:rPr>
        <w:rFonts w:hint="eastAsia"/>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11D4D">
    <w:pPr>
      <w:pStyle w:val="17"/>
      <w:ind w:right="360"/>
      <w:jc w:val="both"/>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DCEE126">
                          <w:pPr>
                            <w:pStyle w:val="17"/>
                          </w:pPr>
                          <w:r>
                            <w:fldChar w:fldCharType="begin"/>
                          </w:r>
                          <w:r>
                            <w:instrText xml:space="preserve"> PAGE  \* MERGEFORMAT </w:instrText>
                          </w:r>
                          <w:r>
                            <w:fldChar w:fldCharType="separate"/>
                          </w:r>
                          <w:r>
                            <w:t>110</w:t>
                          </w:r>
                          <w: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e9BiR80BAACpAwAADgAAAAAAAAABACAAAAAeAQAAZHJzL2Uy&#10;b0RvYy54bWxQSwUGAAAAAAYABgBZAQAAXQUAAAAA&#10;">
              <v:fill on="f" focussize="0,0"/>
              <v:stroke on="f"/>
              <v:imagedata o:title=""/>
              <o:lock v:ext="edit" aspectratio="f"/>
              <v:textbox inset="0mm,0mm,0mm,0mm" style="mso-fit-shape-to-text:t;">
                <w:txbxContent>
                  <w:p w14:paraId="1DCEE126">
                    <w:pPr>
                      <w:pStyle w:val="17"/>
                    </w:pPr>
                    <w:r>
                      <w:fldChar w:fldCharType="begin"/>
                    </w:r>
                    <w:r>
                      <w:instrText xml:space="preserve"> PAGE  \* MERGEFORMAT </w:instrText>
                    </w:r>
                    <w:r>
                      <w:fldChar w:fldCharType="separate"/>
                    </w:r>
                    <w:r>
                      <w:t>110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AED53">
    <w:pPr>
      <w:pStyle w:val="17"/>
      <w:tabs>
        <w:tab w:val="center" w:pos="4534"/>
        <w:tab w:val="clear" w:pos="4153"/>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2EF1E16">
                          <w:pPr>
                            <w:pStyle w:val="17"/>
                          </w:pPr>
                          <w:r>
                            <w:fldChar w:fldCharType="begin"/>
                          </w:r>
                          <w:r>
                            <w:instrText xml:space="preserve"> PAGE  \* MERGEFORMAT </w:instrText>
                          </w:r>
                          <w:r>
                            <w:fldChar w:fldCharType="separate"/>
                          </w:r>
                          <w:r>
                            <w:t>126</w:t>
                          </w:r>
                          <w:r>
                            <w:fldChar w:fldCharType="end"/>
                          </w:r>
                        </w:p>
                      </w:txbxContent>
                    </wps:txbx>
                    <wps:bodyPr wrap="none" lIns="0" tIns="0" rIns="0" bIns="0" upright="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p2CMo80BAACpAwAADgAAAAAAAAABACAAAAAeAQAAZHJzL2Uy&#10;b0RvYy54bWxQSwUGAAAAAAYABgBZAQAAXQUAAAAA&#10;">
              <v:fill on="f" focussize="0,0"/>
              <v:stroke on="f"/>
              <v:imagedata o:title=""/>
              <o:lock v:ext="edit" aspectratio="f"/>
              <v:textbox inset="0mm,0mm,0mm,0mm" style="mso-fit-shape-to-text:t;">
                <w:txbxContent>
                  <w:p w14:paraId="52EF1E16">
                    <w:pPr>
                      <w:pStyle w:val="17"/>
                    </w:pPr>
                    <w:r>
                      <w:fldChar w:fldCharType="begin"/>
                    </w:r>
                    <w:r>
                      <w:instrText xml:space="preserve"> PAGE  \* MERGEFORMAT </w:instrText>
                    </w:r>
                    <w:r>
                      <w:fldChar w:fldCharType="separate"/>
                    </w:r>
                    <w:r>
                      <w:t>126</w:t>
                    </w:r>
                    <w:r>
                      <w:fldChar w:fldCharType="end"/>
                    </w:r>
                  </w:p>
                </w:txbxContent>
              </v:textbox>
            </v:shape>
          </w:pict>
        </mc:Fallback>
      </mc:AlternateContent>
    </w:r>
    <w:r>
      <w:rPr>
        <w:rFonts w:hint="eastAsia"/>
      </w:rP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78396">
    <w:pPr>
      <w:pStyle w:val="17"/>
      <w:ind w:right="360"/>
      <w:jc w:val="both"/>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22ACD2E">
                          <w:pPr>
                            <w:pStyle w:val="17"/>
                          </w:pPr>
                          <w:r>
                            <w:fldChar w:fldCharType="begin"/>
                          </w:r>
                          <w:r>
                            <w:instrText xml:space="preserve"> PAGE  \* MERGEFORMAT </w:instrText>
                          </w:r>
                          <w:r>
                            <w:fldChar w:fldCharType="separate"/>
                          </w:r>
                          <w:r>
                            <w:t>116</w:t>
                          </w:r>
                          <w:r>
                            <w:fldChar w:fldCharType="end"/>
                          </w:r>
                        </w:p>
                      </w:txbxContent>
                    </wps:txbx>
                    <wps:bodyPr wrap="none" lIns="0" tIns="0" rIns="0" bIns="0" upright="0">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D1BRwTOAQAAqQMAAA4AAAAAAAAAAQAgAAAAHgEAAGRycy9l&#10;Mm9Eb2MueG1sUEsFBgAAAAAGAAYAWQEAAF4FAAAAAA==&#10;">
              <v:fill on="f" focussize="0,0"/>
              <v:stroke on="f"/>
              <v:imagedata o:title=""/>
              <o:lock v:ext="edit" aspectratio="f"/>
              <v:textbox inset="0mm,0mm,0mm,0mm" style="mso-fit-shape-to-text:t;">
                <w:txbxContent>
                  <w:p w14:paraId="322ACD2E">
                    <w:pPr>
                      <w:pStyle w:val="17"/>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1E539">
    <w:pPr>
      <w:pStyle w:val="17"/>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5210DCC">
                          <w:pPr>
                            <w:pStyle w:val="17"/>
                          </w:pPr>
                          <w:r>
                            <w:fldChar w:fldCharType="begin"/>
                          </w:r>
                          <w:r>
                            <w:instrText xml:space="preserve"> PAGE  \* MERGEFORMAT </w:instrText>
                          </w:r>
                          <w:r>
                            <w:fldChar w:fldCharType="separate"/>
                          </w:r>
                          <w:r>
                            <w:t>140</w:t>
                          </w:r>
                          <w:r>
                            <w:fldChar w:fldCharType="end"/>
                          </w:r>
                        </w:p>
                      </w:txbxContent>
                    </wps:txbx>
                    <wps:bodyPr wrap="none" lIns="0" tIns="0" rIns="0" bIns="0" upright="0">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2ubmzM0BAACpAwAADgAAAAAAAAABACAAAAAeAQAAZHJzL2Uy&#10;b0RvYy54bWxQSwUGAAAAAAYABgBZAQAAXQUAAAAA&#10;">
              <v:fill on="f" focussize="0,0"/>
              <v:stroke on="f"/>
              <v:imagedata o:title=""/>
              <o:lock v:ext="edit" aspectratio="f"/>
              <v:textbox inset="0mm,0mm,0mm,0mm" style="mso-fit-shape-to-text:t;">
                <w:txbxContent>
                  <w:p w14:paraId="55210DCC">
                    <w:pPr>
                      <w:pStyle w:val="17"/>
                    </w:pPr>
                    <w:r>
                      <w:fldChar w:fldCharType="begin"/>
                    </w:r>
                    <w:r>
                      <w:instrText xml:space="preserve"> PAGE  \* MERGEFORMAT </w:instrText>
                    </w:r>
                    <w:r>
                      <w:fldChar w:fldCharType="separate"/>
                    </w:r>
                    <w:r>
                      <w:t>140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3C4A4">
    <w:pPr>
      <w:pStyle w:val="17"/>
      <w:framePr w:wrap="around" w:vAnchor="text" w:hAnchor="margin" w:xAlign="center" w:y="1"/>
      <w:rPr>
        <w:rStyle w:val="29"/>
      </w:rPr>
    </w:pPr>
    <w:r>
      <w:fldChar w:fldCharType="begin"/>
    </w:r>
    <w:r>
      <w:rPr>
        <w:rStyle w:val="29"/>
      </w:rPr>
      <w:instrText xml:space="preserve">PAGE  </w:instrText>
    </w:r>
    <w:r>
      <w:fldChar w:fldCharType="end"/>
    </w:r>
  </w:p>
  <w:p w14:paraId="77C3A71F">
    <w:pPr>
      <w:pStyle w:val="1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6D120">
    <w:pPr>
      <w:pStyle w:val="17"/>
      <w:framePr w:wrap="around" w:vAnchor="text" w:hAnchor="margin" w:xAlign="right" w:y="1"/>
      <w:rPr>
        <w:rStyle w:val="29"/>
      </w:rPr>
    </w:pPr>
    <w:r>
      <w:fldChar w:fldCharType="begin"/>
    </w:r>
    <w:r>
      <w:rPr>
        <w:rStyle w:val="29"/>
      </w:rPr>
      <w:instrText xml:space="preserve">PAGE  </w:instrText>
    </w:r>
    <w:r>
      <w:fldChar w:fldCharType="separate"/>
    </w:r>
    <w:r>
      <w:rPr>
        <w:rStyle w:val="29"/>
      </w:rPr>
      <w:t>122</w:t>
    </w:r>
    <w:r>
      <w:fldChar w:fldCharType="end"/>
    </w:r>
  </w:p>
  <w:p w14:paraId="586AB2F2">
    <w:pPr>
      <w:pStyle w:val="17"/>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96862">
    <w:pPr>
      <w:pStyle w:val="18"/>
      <w:rPr>
        <w:rFonts w:hint="eastAsia" w:eastAsia="宋体"/>
        <w:lang w:eastAsia="zh-CN"/>
      </w:rPr>
    </w:pPr>
    <w:r>
      <w:rPr>
        <w:rFonts w:hint="eastAsia"/>
      </w:rPr>
      <w:t>项目名称：实验室仪器设备采购</w:t>
    </w:r>
    <w:r>
      <w:rPr>
        <w:rFonts w:hint="eastAsia"/>
        <w:lang w:val="en-US" w:eastAsia="zh-CN"/>
      </w:rPr>
      <w:t xml:space="preserve">                         </w:t>
    </w:r>
    <w:r>
      <w:rPr>
        <w:rFonts w:hint="eastAsia"/>
      </w:rPr>
      <w:t>项目编号：</w:t>
    </w:r>
    <w:r>
      <w:rPr>
        <w:rFonts w:hint="eastAsia"/>
        <w:lang w:eastAsia="zh-CN"/>
      </w:rPr>
      <w:t>GXZC2026-G1-003147-JYZX</w:t>
    </w:r>
  </w:p>
  <w:p w14:paraId="6EB27145">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458EB">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D56E2">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CAB193"/>
    <w:multiLevelType w:val="singleLevel"/>
    <w:tmpl w:val="BCCAB193"/>
    <w:lvl w:ilvl="0" w:tentative="0">
      <w:start w:val="1"/>
      <w:numFmt w:val="decimal"/>
      <w:suff w:val="nothing"/>
      <w:lvlText w:val="%1、"/>
      <w:lvlJc w:val="left"/>
    </w:lvl>
  </w:abstractNum>
  <w:abstractNum w:abstractNumId="1">
    <w:nsid w:val="D1CB00DE"/>
    <w:multiLevelType w:val="singleLevel"/>
    <w:tmpl w:val="D1CB00DE"/>
    <w:lvl w:ilvl="0" w:tentative="0">
      <w:start w:val="1"/>
      <w:numFmt w:val="decimal"/>
      <w:lvlText w:val="(%1)"/>
      <w:lvlJc w:val="left"/>
      <w:pPr>
        <w:ind w:left="425" w:hanging="425"/>
      </w:pPr>
      <w:rPr>
        <w:rFonts w:hint="default"/>
      </w:rPr>
    </w:lvl>
  </w:abstractNum>
  <w:abstractNum w:abstractNumId="2">
    <w:nsid w:val="F47E0555"/>
    <w:multiLevelType w:val="singleLevel"/>
    <w:tmpl w:val="F47E0555"/>
    <w:lvl w:ilvl="0" w:tentative="0">
      <w:start w:val="1"/>
      <w:numFmt w:val="decimal"/>
      <w:suff w:val="nothing"/>
      <w:lvlText w:val="%1、"/>
      <w:lvlJc w:val="left"/>
    </w:lvl>
  </w:abstractNum>
  <w:abstractNum w:abstractNumId="3">
    <w:nsid w:val="006C6447"/>
    <w:multiLevelType w:val="multilevel"/>
    <w:tmpl w:val="006C6447"/>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4">
    <w:nsid w:val="02E419BB"/>
    <w:multiLevelType w:val="multilevel"/>
    <w:tmpl w:val="02E419BB"/>
    <w:lvl w:ilvl="0" w:tentative="0">
      <w:start w:val="1"/>
      <w:numFmt w:val="decimal"/>
      <w:suff w:val="nothing"/>
      <w:lvlText w:val="%1、"/>
      <w:lvlJc w:val="left"/>
      <w:pPr>
        <w:ind w:left="0" w:firstLine="0"/>
      </w:pPr>
      <w:rPr>
        <w:rFonts w:hint="default"/>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030D422C"/>
    <w:multiLevelType w:val="multilevel"/>
    <w:tmpl w:val="030D422C"/>
    <w:lvl w:ilvl="0" w:tentative="0">
      <w:start w:val="1"/>
      <w:numFmt w:val="decimal"/>
      <w:suff w:val="nothing"/>
      <w:lvlText w:val="%1、"/>
      <w:lvlJc w:val="left"/>
      <w:pPr>
        <w:ind w:left="0" w:firstLine="0"/>
      </w:pPr>
      <w:rPr>
        <w:rFonts w:hint="eastAsia"/>
      </w:rPr>
    </w:lvl>
    <w:lvl w:ilvl="1" w:tentative="0">
      <w:start w:val="1"/>
      <w:numFmt w:val="decimal"/>
      <w:lvlText w:val="%2."/>
      <w:lvlJc w:val="left"/>
      <w:pPr>
        <w:ind w:left="800" w:hanging="36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04CF3BB0"/>
    <w:multiLevelType w:val="multilevel"/>
    <w:tmpl w:val="04CF3BB0"/>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0AA4582F"/>
    <w:multiLevelType w:val="multilevel"/>
    <w:tmpl w:val="0AA4582F"/>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114A7949"/>
    <w:multiLevelType w:val="multilevel"/>
    <w:tmpl w:val="114A7949"/>
    <w:lvl w:ilvl="0" w:tentative="0">
      <w:start w:val="1"/>
      <w:numFmt w:val="chineseCountingThousand"/>
      <w:suff w:val="nothing"/>
      <w:lvlText w:val="(%1)"/>
      <w:lvlJc w:val="left"/>
      <w:pPr>
        <w:ind w:left="0" w:firstLine="0"/>
      </w:pPr>
      <w:rPr>
        <w:rFonts w:hint="eastAsia"/>
        <w:b/>
        <w:bC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123F2387"/>
    <w:multiLevelType w:val="multilevel"/>
    <w:tmpl w:val="123F2387"/>
    <w:lvl w:ilvl="0" w:tentative="0">
      <w:start w:val="1"/>
      <w:numFmt w:val="chineseCountingThousand"/>
      <w:suff w:val="nothing"/>
      <w:lvlText w:val="%1、"/>
      <w:lvlJc w:val="left"/>
      <w:pPr>
        <w:ind w:left="0" w:firstLine="0"/>
      </w:pPr>
      <w:rPr>
        <w:rFonts w:hint="eastAsia"/>
        <w:b/>
        <w:bCs/>
      </w:rPr>
    </w:lvl>
    <w:lvl w:ilvl="1" w:tentative="0">
      <w:start w:val="1"/>
      <w:numFmt w:val="decimal"/>
      <w:lvlText w:val="%2、"/>
      <w:lvlJc w:val="left"/>
      <w:pPr>
        <w:ind w:left="800" w:hanging="36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12DB1BC4"/>
    <w:multiLevelType w:val="multilevel"/>
    <w:tmpl w:val="12DB1BC4"/>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19FD2E22"/>
    <w:multiLevelType w:val="multilevel"/>
    <w:tmpl w:val="19FD2E22"/>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1D12059C"/>
    <w:multiLevelType w:val="multilevel"/>
    <w:tmpl w:val="1D12059C"/>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1D812184"/>
    <w:multiLevelType w:val="multilevel"/>
    <w:tmpl w:val="1D812184"/>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14">
    <w:nsid w:val="24DB158A"/>
    <w:multiLevelType w:val="multilevel"/>
    <w:tmpl w:val="24DB158A"/>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27B46DA6"/>
    <w:multiLevelType w:val="multilevel"/>
    <w:tmpl w:val="27B46DA6"/>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27C30B28"/>
    <w:multiLevelType w:val="multilevel"/>
    <w:tmpl w:val="27C30B28"/>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7">
    <w:nsid w:val="280F04B0"/>
    <w:multiLevelType w:val="multilevel"/>
    <w:tmpl w:val="280F04B0"/>
    <w:lvl w:ilvl="0" w:tentative="0">
      <w:start w:val="1"/>
      <w:numFmt w:val="chineseCountingThousand"/>
      <w:suff w:val="nothing"/>
      <w:lvlText w:val="(%1)"/>
      <w:lvlJc w:val="left"/>
      <w:pPr>
        <w:ind w:left="0" w:firstLine="0"/>
      </w:pPr>
      <w:rPr>
        <w:rFonts w:hint="eastAsia"/>
        <w:b/>
        <w:bC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8">
    <w:nsid w:val="2EA707D2"/>
    <w:multiLevelType w:val="multilevel"/>
    <w:tmpl w:val="2EA707D2"/>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2F011495"/>
    <w:multiLevelType w:val="singleLevel"/>
    <w:tmpl w:val="2F011495"/>
    <w:lvl w:ilvl="0" w:tentative="0">
      <w:start w:val="1"/>
      <w:numFmt w:val="decimal"/>
      <w:suff w:val="nothing"/>
      <w:lvlText w:val="%1、"/>
      <w:lvlJc w:val="left"/>
    </w:lvl>
  </w:abstractNum>
  <w:abstractNum w:abstractNumId="20">
    <w:nsid w:val="31500696"/>
    <w:multiLevelType w:val="multilevel"/>
    <w:tmpl w:val="31500696"/>
    <w:lvl w:ilvl="0" w:tentative="0">
      <w:start w:val="1"/>
      <w:numFmt w:val="chineseCountingThousand"/>
      <w:suff w:val="nothing"/>
      <w:lvlText w:val="%1、"/>
      <w:lvlJc w:val="left"/>
      <w:pPr>
        <w:ind w:left="0" w:firstLine="0"/>
      </w:pPr>
      <w:rPr>
        <w:rFonts w:hint="eastAsia"/>
        <w:b/>
        <w:bC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1">
    <w:nsid w:val="31C74992"/>
    <w:multiLevelType w:val="multilevel"/>
    <w:tmpl w:val="31C74992"/>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3">
    <w:nsid w:val="38194869"/>
    <w:multiLevelType w:val="multilevel"/>
    <w:tmpl w:val="38194869"/>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4">
    <w:nsid w:val="3E545D0D"/>
    <w:multiLevelType w:val="multilevel"/>
    <w:tmpl w:val="3E545D0D"/>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5">
    <w:nsid w:val="3E65611F"/>
    <w:multiLevelType w:val="multilevel"/>
    <w:tmpl w:val="3E65611F"/>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6">
    <w:nsid w:val="3ECA1A45"/>
    <w:multiLevelType w:val="multilevel"/>
    <w:tmpl w:val="3ECA1A45"/>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7">
    <w:nsid w:val="3FD059AB"/>
    <w:multiLevelType w:val="multilevel"/>
    <w:tmpl w:val="3FD059AB"/>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8">
    <w:nsid w:val="433A547B"/>
    <w:multiLevelType w:val="multilevel"/>
    <w:tmpl w:val="433A547B"/>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29">
    <w:nsid w:val="435D1990"/>
    <w:multiLevelType w:val="multilevel"/>
    <w:tmpl w:val="435D1990"/>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0">
    <w:nsid w:val="4485A435"/>
    <w:multiLevelType w:val="multilevel"/>
    <w:tmpl w:val="4485A435"/>
    <w:lvl w:ilvl="0" w:tentative="0">
      <w:start w:val="1"/>
      <w:numFmt w:val="decimal"/>
      <w:suff w:val="nothing"/>
      <w:lvlText w:val="%1、"/>
      <w:lvlJc w:val="left"/>
      <w:pPr>
        <w:ind w:left="0" w:firstLine="0"/>
      </w:pPr>
      <w:rPr>
        <w:rFonts w:hint="eastAsia" w:ascii="宋体" w:hAnsi="宋体" w:eastAsia="宋体" w:cs="宋体"/>
        <w:sz w:val="21"/>
        <w:szCs w:val="21"/>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31">
    <w:nsid w:val="44CE44CF"/>
    <w:multiLevelType w:val="multilevel"/>
    <w:tmpl w:val="44CE44CF"/>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2">
    <w:nsid w:val="493E0CA4"/>
    <w:multiLevelType w:val="multilevel"/>
    <w:tmpl w:val="493E0CA4"/>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3">
    <w:nsid w:val="49D1259A"/>
    <w:multiLevelType w:val="multilevel"/>
    <w:tmpl w:val="49D1259A"/>
    <w:lvl w:ilvl="0" w:tentative="0">
      <w:start w:val="1"/>
      <w:numFmt w:val="chineseCountingThousand"/>
      <w:suff w:val="nothing"/>
      <w:lvlText w:val="(%1)"/>
      <w:lvlJc w:val="left"/>
      <w:pPr>
        <w:ind w:left="0" w:firstLine="0"/>
      </w:pPr>
      <w:rPr>
        <w:rFonts w:hint="eastAsia"/>
        <w:b/>
        <w:bCs/>
      </w:rPr>
    </w:lvl>
    <w:lvl w:ilvl="1" w:tentative="0">
      <w:start w:val="1"/>
      <w:numFmt w:val="japaneseCounting"/>
      <w:lvlText w:val="%2、"/>
      <w:lvlJc w:val="left"/>
      <w:pPr>
        <w:ind w:left="860" w:hanging="42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4">
    <w:nsid w:val="51340B1D"/>
    <w:multiLevelType w:val="multilevel"/>
    <w:tmpl w:val="51340B1D"/>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5">
    <w:nsid w:val="52E02A40"/>
    <w:multiLevelType w:val="multilevel"/>
    <w:tmpl w:val="52E02A40"/>
    <w:lvl w:ilvl="0" w:tentative="0">
      <w:start w:val="1"/>
      <w:numFmt w:val="chineseCountingThousand"/>
      <w:suff w:val="nothing"/>
      <w:lvlText w:val="%1、"/>
      <w:lvlJc w:val="left"/>
      <w:pPr>
        <w:ind w:left="0" w:firstLine="0"/>
      </w:pPr>
      <w:rPr>
        <w:rFonts w:hint="eastAsia"/>
        <w:b/>
        <w:bCs/>
      </w:rPr>
    </w:lvl>
    <w:lvl w:ilvl="1" w:tentative="0">
      <w:start w:val="1"/>
      <w:numFmt w:val="japaneseCounting"/>
      <w:lvlText w:val="%2、"/>
      <w:lvlJc w:val="left"/>
      <w:pPr>
        <w:ind w:left="860" w:hanging="42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6">
    <w:nsid w:val="58FC726F"/>
    <w:multiLevelType w:val="multilevel"/>
    <w:tmpl w:val="58FC726F"/>
    <w:lvl w:ilvl="0" w:tentative="0">
      <w:start w:val="1"/>
      <w:numFmt w:val="chineseCountingThousand"/>
      <w:suff w:val="nothing"/>
      <w:lvlText w:val="%1、"/>
      <w:lvlJc w:val="left"/>
      <w:pPr>
        <w:ind w:left="0" w:firstLine="0"/>
      </w:pPr>
      <w:rPr>
        <w:rFonts w:hint="eastAsia"/>
        <w:b/>
        <w:bCs/>
      </w:rPr>
    </w:lvl>
    <w:lvl w:ilvl="1" w:tentative="0">
      <w:start w:val="1"/>
      <w:numFmt w:val="japaneseCounting"/>
      <w:lvlText w:val="%2、"/>
      <w:lvlJc w:val="left"/>
      <w:pPr>
        <w:ind w:left="860" w:hanging="42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7">
    <w:nsid w:val="5CAF61C7"/>
    <w:multiLevelType w:val="multilevel"/>
    <w:tmpl w:val="5CAF61C7"/>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8">
    <w:nsid w:val="5F4C2C8A"/>
    <w:multiLevelType w:val="multilevel"/>
    <w:tmpl w:val="5F4C2C8A"/>
    <w:lvl w:ilvl="0" w:tentative="0">
      <w:start w:val="1"/>
      <w:numFmt w:val="chineseCountingThousand"/>
      <w:suff w:val="nothing"/>
      <w:lvlText w:val="(%1)"/>
      <w:lvlJc w:val="left"/>
      <w:pPr>
        <w:ind w:left="0" w:firstLine="0"/>
      </w:pPr>
      <w:rPr>
        <w:rFonts w:hint="eastAsia"/>
        <w:b/>
        <w:bCs/>
      </w:rPr>
    </w:lvl>
    <w:lvl w:ilvl="1" w:tentative="0">
      <w:start w:val="1"/>
      <w:numFmt w:val="japaneseCounting"/>
      <w:lvlText w:val="%2、"/>
      <w:lvlJc w:val="left"/>
      <w:pPr>
        <w:ind w:left="860" w:hanging="42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9">
    <w:nsid w:val="60487D21"/>
    <w:multiLevelType w:val="multilevel"/>
    <w:tmpl w:val="60487D21"/>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0">
    <w:nsid w:val="605A1891"/>
    <w:multiLevelType w:val="multilevel"/>
    <w:tmpl w:val="605A1891"/>
    <w:lvl w:ilvl="0" w:tentative="0">
      <w:start w:val="1"/>
      <w:numFmt w:val="decimal"/>
      <w:suff w:val="nothing"/>
      <w:lvlText w:val="%1、"/>
      <w:lvlJc w:val="left"/>
      <w:pPr>
        <w:ind w:left="0" w:firstLine="0"/>
      </w:pPr>
      <w:rPr>
        <w:rFonts w:hint="eastAsia"/>
      </w:rPr>
    </w:lvl>
    <w:lvl w:ilvl="1" w:tentative="0">
      <w:start w:val="1"/>
      <w:numFmt w:val="decimal"/>
      <w:lvlText w:val="%2."/>
      <w:lvlJc w:val="left"/>
      <w:pPr>
        <w:ind w:left="800" w:hanging="36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1">
    <w:nsid w:val="65EF5617"/>
    <w:multiLevelType w:val="multilevel"/>
    <w:tmpl w:val="65EF5617"/>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66621767"/>
    <w:multiLevelType w:val="multilevel"/>
    <w:tmpl w:val="66621767"/>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3">
    <w:nsid w:val="66B73E66"/>
    <w:multiLevelType w:val="multilevel"/>
    <w:tmpl w:val="66B73E66"/>
    <w:lvl w:ilvl="0" w:tentative="0">
      <w:start w:val="1"/>
      <w:numFmt w:val="chineseCountingThousand"/>
      <w:suff w:val="nothing"/>
      <w:lvlText w:val="%1、"/>
      <w:lvlJc w:val="left"/>
      <w:pPr>
        <w:ind w:left="0" w:firstLine="0"/>
      </w:pPr>
      <w:rPr>
        <w:rFonts w:hint="eastAsia"/>
        <w:b/>
        <w:bCs/>
      </w:rPr>
    </w:lvl>
    <w:lvl w:ilvl="1" w:tentative="0">
      <w:start w:val="1"/>
      <w:numFmt w:val="japaneseCounting"/>
      <w:lvlText w:val="%2、"/>
      <w:lvlJc w:val="left"/>
      <w:pPr>
        <w:ind w:left="860" w:hanging="42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4">
    <w:nsid w:val="67480905"/>
    <w:multiLevelType w:val="multilevel"/>
    <w:tmpl w:val="67480905"/>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5">
    <w:nsid w:val="6B380754"/>
    <w:multiLevelType w:val="multilevel"/>
    <w:tmpl w:val="6B380754"/>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6">
    <w:nsid w:val="6D36AD5E"/>
    <w:multiLevelType w:val="multilevel"/>
    <w:tmpl w:val="6D36AD5E"/>
    <w:lvl w:ilvl="0" w:tentative="0">
      <w:start w:val="1"/>
      <w:numFmt w:val="chineseCountingThousand"/>
      <w:suff w:val="nothing"/>
      <w:lvlText w:val="%1、"/>
      <w:lvlJc w:val="left"/>
      <w:pPr>
        <w:ind w:left="0" w:firstLine="0"/>
      </w:pPr>
      <w:rPr>
        <w:rFonts w:hint="eastAsia" w:ascii="宋体" w:hAnsi="宋体" w:eastAsia="宋体" w:cs="宋体"/>
        <w:b/>
        <w:bCs/>
      </w:rPr>
    </w:lvl>
    <w:lvl w:ilvl="1" w:tentative="0">
      <w:start w:val="1"/>
      <w:numFmt w:val="lowerLetter"/>
      <w:lvlText w:val="%2)"/>
      <w:lvlJc w:val="left"/>
      <w:pPr>
        <w:ind w:left="880" w:hanging="440"/>
      </w:pPr>
      <w:rPr>
        <w:rFonts w:hint="default" w:ascii="Times New Roman" w:hAnsi="Times New Roman" w:cs="Times New Roman"/>
      </w:rPr>
    </w:lvl>
    <w:lvl w:ilvl="2" w:tentative="0">
      <w:start w:val="1"/>
      <w:numFmt w:val="lowerRoman"/>
      <w:lvlText w:val="%3."/>
      <w:lvlJc w:val="right"/>
      <w:pPr>
        <w:ind w:left="1320" w:hanging="440"/>
      </w:pPr>
      <w:rPr>
        <w:rFonts w:hint="default" w:ascii="Times New Roman" w:hAnsi="Times New Roman" w:cs="Times New Roman"/>
      </w:rPr>
    </w:lvl>
    <w:lvl w:ilvl="3" w:tentative="0">
      <w:start w:val="1"/>
      <w:numFmt w:val="decimal"/>
      <w:lvlText w:val="%4."/>
      <w:lvlJc w:val="left"/>
      <w:pPr>
        <w:ind w:left="1760" w:hanging="440"/>
      </w:pPr>
      <w:rPr>
        <w:rFonts w:hint="default" w:ascii="Times New Roman" w:hAnsi="Times New Roman" w:cs="Times New Roman"/>
      </w:rPr>
    </w:lvl>
    <w:lvl w:ilvl="4" w:tentative="0">
      <w:start w:val="1"/>
      <w:numFmt w:val="lowerLetter"/>
      <w:lvlText w:val="%5)"/>
      <w:lvlJc w:val="left"/>
      <w:pPr>
        <w:ind w:left="2200" w:hanging="440"/>
      </w:pPr>
      <w:rPr>
        <w:rFonts w:hint="default" w:ascii="Times New Roman" w:hAnsi="Times New Roman" w:cs="Times New Roman"/>
      </w:rPr>
    </w:lvl>
    <w:lvl w:ilvl="5" w:tentative="0">
      <w:start w:val="1"/>
      <w:numFmt w:val="lowerRoman"/>
      <w:lvlText w:val="%6."/>
      <w:lvlJc w:val="right"/>
      <w:pPr>
        <w:ind w:left="2640" w:hanging="440"/>
      </w:pPr>
      <w:rPr>
        <w:rFonts w:hint="default" w:ascii="Times New Roman" w:hAnsi="Times New Roman" w:cs="Times New Roman"/>
      </w:rPr>
    </w:lvl>
    <w:lvl w:ilvl="6" w:tentative="0">
      <w:start w:val="1"/>
      <w:numFmt w:val="decimal"/>
      <w:lvlText w:val="%7."/>
      <w:lvlJc w:val="left"/>
      <w:pPr>
        <w:ind w:left="3080" w:hanging="440"/>
      </w:pPr>
      <w:rPr>
        <w:rFonts w:hint="default" w:ascii="Times New Roman" w:hAnsi="Times New Roman" w:cs="Times New Roman"/>
      </w:rPr>
    </w:lvl>
    <w:lvl w:ilvl="7" w:tentative="0">
      <w:start w:val="1"/>
      <w:numFmt w:val="lowerLetter"/>
      <w:lvlText w:val="%8)"/>
      <w:lvlJc w:val="left"/>
      <w:pPr>
        <w:ind w:left="3520" w:hanging="440"/>
      </w:pPr>
      <w:rPr>
        <w:rFonts w:hint="default" w:ascii="Times New Roman" w:hAnsi="Times New Roman" w:cs="Times New Roman"/>
      </w:rPr>
    </w:lvl>
    <w:lvl w:ilvl="8" w:tentative="0">
      <w:start w:val="1"/>
      <w:numFmt w:val="lowerRoman"/>
      <w:lvlText w:val="%9."/>
      <w:lvlJc w:val="right"/>
      <w:pPr>
        <w:ind w:left="3960" w:hanging="440"/>
      </w:pPr>
      <w:rPr>
        <w:rFonts w:hint="default" w:ascii="Times New Roman" w:hAnsi="Times New Roman" w:cs="Times New Roman"/>
      </w:rPr>
    </w:lvl>
  </w:abstractNum>
  <w:abstractNum w:abstractNumId="47">
    <w:nsid w:val="6EC30870"/>
    <w:multiLevelType w:val="multilevel"/>
    <w:tmpl w:val="6EC30870"/>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8">
    <w:nsid w:val="720879EB"/>
    <w:multiLevelType w:val="multilevel"/>
    <w:tmpl w:val="720879EB"/>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9">
    <w:nsid w:val="733805AA"/>
    <w:multiLevelType w:val="multilevel"/>
    <w:tmpl w:val="733805AA"/>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0">
    <w:nsid w:val="73BF3C5A"/>
    <w:multiLevelType w:val="multilevel"/>
    <w:tmpl w:val="73BF3C5A"/>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1">
    <w:nsid w:val="75AC0A61"/>
    <w:multiLevelType w:val="multilevel"/>
    <w:tmpl w:val="75AC0A61"/>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2">
    <w:nsid w:val="76EB7821"/>
    <w:multiLevelType w:val="multilevel"/>
    <w:tmpl w:val="76EB7821"/>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3">
    <w:nsid w:val="7ABA0BA3"/>
    <w:multiLevelType w:val="multilevel"/>
    <w:tmpl w:val="7ABA0BA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4">
    <w:nsid w:val="7AE91235"/>
    <w:multiLevelType w:val="multilevel"/>
    <w:tmpl w:val="7AE91235"/>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5">
    <w:nsid w:val="7B7D7A23"/>
    <w:multiLevelType w:val="singleLevel"/>
    <w:tmpl w:val="7B7D7A23"/>
    <w:lvl w:ilvl="0" w:tentative="0">
      <w:start w:val="1"/>
      <w:numFmt w:val="decimal"/>
      <w:suff w:val="nothing"/>
      <w:lvlText w:val="%1、"/>
      <w:lvlJc w:val="left"/>
    </w:lvl>
  </w:abstractNum>
  <w:num w:numId="1">
    <w:abstractNumId w:val="22"/>
  </w:num>
  <w:num w:numId="2">
    <w:abstractNumId w:val="49"/>
  </w:num>
  <w:num w:numId="3">
    <w:abstractNumId w:val="55"/>
  </w:num>
  <w:num w:numId="4">
    <w:abstractNumId w:val="0"/>
  </w:num>
  <w:num w:numId="5">
    <w:abstractNumId w:val="2"/>
  </w:num>
  <w:num w:numId="6">
    <w:abstractNumId w:val="19"/>
  </w:num>
  <w:num w:numId="7">
    <w:abstractNumId w:val="16"/>
  </w:num>
  <w:num w:numId="8">
    <w:abstractNumId w:val="35"/>
  </w:num>
  <w:num w:numId="9">
    <w:abstractNumId w:val="34"/>
  </w:num>
  <w:num w:numId="10">
    <w:abstractNumId w:val="24"/>
  </w:num>
  <w:num w:numId="11">
    <w:abstractNumId w:val="44"/>
  </w:num>
  <w:num w:numId="12">
    <w:abstractNumId w:val="17"/>
  </w:num>
  <w:num w:numId="13">
    <w:abstractNumId w:val="14"/>
  </w:num>
  <w:num w:numId="14">
    <w:abstractNumId w:val="18"/>
  </w:num>
  <w:num w:numId="15">
    <w:abstractNumId w:val="27"/>
  </w:num>
  <w:num w:numId="16">
    <w:abstractNumId w:val="50"/>
  </w:num>
  <w:num w:numId="17">
    <w:abstractNumId w:val="25"/>
  </w:num>
  <w:num w:numId="18">
    <w:abstractNumId w:val="20"/>
  </w:num>
  <w:num w:numId="19">
    <w:abstractNumId w:val="8"/>
  </w:num>
  <w:num w:numId="20">
    <w:abstractNumId w:val="7"/>
  </w:num>
  <w:num w:numId="21">
    <w:abstractNumId w:val="29"/>
  </w:num>
  <w:num w:numId="22">
    <w:abstractNumId w:val="54"/>
  </w:num>
  <w:num w:numId="23">
    <w:abstractNumId w:val="11"/>
  </w:num>
  <w:num w:numId="24">
    <w:abstractNumId w:val="32"/>
  </w:num>
  <w:num w:numId="25">
    <w:abstractNumId w:val="36"/>
  </w:num>
  <w:num w:numId="26">
    <w:abstractNumId w:val="38"/>
  </w:num>
  <w:num w:numId="27">
    <w:abstractNumId w:val="45"/>
  </w:num>
  <w:num w:numId="28">
    <w:abstractNumId w:val="23"/>
  </w:num>
  <w:num w:numId="29">
    <w:abstractNumId w:val="26"/>
  </w:num>
  <w:num w:numId="30">
    <w:abstractNumId w:val="33"/>
  </w:num>
  <w:num w:numId="31">
    <w:abstractNumId w:val="53"/>
  </w:num>
  <w:num w:numId="32">
    <w:abstractNumId w:val="9"/>
  </w:num>
  <w:num w:numId="33">
    <w:abstractNumId w:val="39"/>
  </w:num>
  <w:num w:numId="34">
    <w:abstractNumId w:val="10"/>
  </w:num>
  <w:num w:numId="35">
    <w:abstractNumId w:val="6"/>
  </w:num>
  <w:num w:numId="36">
    <w:abstractNumId w:val="12"/>
  </w:num>
  <w:num w:numId="37">
    <w:abstractNumId w:val="51"/>
  </w:num>
  <w:num w:numId="38">
    <w:abstractNumId w:val="48"/>
  </w:num>
  <w:num w:numId="39">
    <w:abstractNumId w:val="42"/>
  </w:num>
  <w:num w:numId="40">
    <w:abstractNumId w:val="52"/>
  </w:num>
  <w:num w:numId="41">
    <w:abstractNumId w:val="41"/>
  </w:num>
  <w:num w:numId="42">
    <w:abstractNumId w:val="46"/>
  </w:num>
  <w:num w:numId="43">
    <w:abstractNumId w:val="30"/>
  </w:num>
  <w:num w:numId="44">
    <w:abstractNumId w:val="1"/>
  </w:num>
  <w:num w:numId="45">
    <w:abstractNumId w:val="47"/>
  </w:num>
  <w:num w:numId="46">
    <w:abstractNumId w:val="31"/>
  </w:num>
  <w:num w:numId="47">
    <w:abstractNumId w:val="5"/>
  </w:num>
  <w:num w:numId="48">
    <w:abstractNumId w:val="40"/>
  </w:num>
  <w:num w:numId="49">
    <w:abstractNumId w:val="43"/>
  </w:num>
  <w:num w:numId="50">
    <w:abstractNumId w:val="28"/>
  </w:num>
  <w:num w:numId="51">
    <w:abstractNumId w:val="13"/>
  </w:num>
  <w:num w:numId="52">
    <w:abstractNumId w:val="37"/>
  </w:num>
  <w:num w:numId="53">
    <w:abstractNumId w:val="15"/>
  </w:num>
  <w:num w:numId="54">
    <w:abstractNumId w:val="3"/>
  </w:num>
  <w:num w:numId="55">
    <w:abstractNumId w:val="21"/>
  </w:num>
  <w:num w:numId="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hideSpellingErrors/>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F37"/>
    <w:rsid w:val="001A67EA"/>
    <w:rsid w:val="002F4601"/>
    <w:rsid w:val="005B203D"/>
    <w:rsid w:val="00811D8D"/>
    <w:rsid w:val="008B43ED"/>
    <w:rsid w:val="008D3CE3"/>
    <w:rsid w:val="008E7E77"/>
    <w:rsid w:val="00A20F37"/>
    <w:rsid w:val="00A84F36"/>
    <w:rsid w:val="00CC6C25"/>
    <w:rsid w:val="00F45723"/>
    <w:rsid w:val="00F66FCC"/>
    <w:rsid w:val="00FF7EF3"/>
    <w:rsid w:val="03BC1412"/>
    <w:rsid w:val="04F5599B"/>
    <w:rsid w:val="0549522C"/>
    <w:rsid w:val="06277446"/>
    <w:rsid w:val="068277BF"/>
    <w:rsid w:val="06F86E33"/>
    <w:rsid w:val="08820EDA"/>
    <w:rsid w:val="09505D00"/>
    <w:rsid w:val="09C0632E"/>
    <w:rsid w:val="0B89037F"/>
    <w:rsid w:val="0C92409A"/>
    <w:rsid w:val="0CB54734"/>
    <w:rsid w:val="0D2210DB"/>
    <w:rsid w:val="0FA04413"/>
    <w:rsid w:val="103C080D"/>
    <w:rsid w:val="105166EC"/>
    <w:rsid w:val="12311793"/>
    <w:rsid w:val="14465682"/>
    <w:rsid w:val="15121A08"/>
    <w:rsid w:val="168533F3"/>
    <w:rsid w:val="17395137"/>
    <w:rsid w:val="173D7ADE"/>
    <w:rsid w:val="174578F8"/>
    <w:rsid w:val="17985129"/>
    <w:rsid w:val="196B53B9"/>
    <w:rsid w:val="1AE23C2A"/>
    <w:rsid w:val="1BB83913"/>
    <w:rsid w:val="1F071EB1"/>
    <w:rsid w:val="22575D13"/>
    <w:rsid w:val="22F357B7"/>
    <w:rsid w:val="23464EC0"/>
    <w:rsid w:val="234A05BF"/>
    <w:rsid w:val="244E37C0"/>
    <w:rsid w:val="27F531EF"/>
    <w:rsid w:val="2877796C"/>
    <w:rsid w:val="28E60D8A"/>
    <w:rsid w:val="28FB65E3"/>
    <w:rsid w:val="29BF215B"/>
    <w:rsid w:val="2B40246B"/>
    <w:rsid w:val="2BA56CDA"/>
    <w:rsid w:val="2D03414B"/>
    <w:rsid w:val="2D062F57"/>
    <w:rsid w:val="2D0E0A19"/>
    <w:rsid w:val="2D63484D"/>
    <w:rsid w:val="2D87279C"/>
    <w:rsid w:val="2F603644"/>
    <w:rsid w:val="30FF0764"/>
    <w:rsid w:val="31E14C72"/>
    <w:rsid w:val="32411CAD"/>
    <w:rsid w:val="33A15FD9"/>
    <w:rsid w:val="38E71D8F"/>
    <w:rsid w:val="39223BA3"/>
    <w:rsid w:val="39F74C91"/>
    <w:rsid w:val="3B3B05A8"/>
    <w:rsid w:val="3C9A400B"/>
    <w:rsid w:val="3DC467B9"/>
    <w:rsid w:val="3EC15781"/>
    <w:rsid w:val="3F051B12"/>
    <w:rsid w:val="442332CF"/>
    <w:rsid w:val="446E2579"/>
    <w:rsid w:val="45390767"/>
    <w:rsid w:val="455F19D3"/>
    <w:rsid w:val="4C8A0FB6"/>
    <w:rsid w:val="4CBB5F06"/>
    <w:rsid w:val="4DB7278A"/>
    <w:rsid w:val="51EE6F23"/>
    <w:rsid w:val="53CF2762"/>
    <w:rsid w:val="56A5007F"/>
    <w:rsid w:val="56CA054C"/>
    <w:rsid w:val="576F648D"/>
    <w:rsid w:val="5918314C"/>
    <w:rsid w:val="59D6220D"/>
    <w:rsid w:val="5B4D1BA2"/>
    <w:rsid w:val="5C1B4497"/>
    <w:rsid w:val="5E8A398A"/>
    <w:rsid w:val="5F887EC9"/>
    <w:rsid w:val="5FE64BF0"/>
    <w:rsid w:val="60A07495"/>
    <w:rsid w:val="61350EE4"/>
    <w:rsid w:val="61840CC8"/>
    <w:rsid w:val="61E77036"/>
    <w:rsid w:val="62A0765A"/>
    <w:rsid w:val="637D39D2"/>
    <w:rsid w:val="6426706F"/>
    <w:rsid w:val="64831F3C"/>
    <w:rsid w:val="651B358E"/>
    <w:rsid w:val="67784CC7"/>
    <w:rsid w:val="69CC4D48"/>
    <w:rsid w:val="6B6D4279"/>
    <w:rsid w:val="6CFD6CF2"/>
    <w:rsid w:val="6D3D707A"/>
    <w:rsid w:val="6D5A3D43"/>
    <w:rsid w:val="6ECD2CC0"/>
    <w:rsid w:val="6FFE51C0"/>
    <w:rsid w:val="70241CE7"/>
    <w:rsid w:val="71BC4C6C"/>
    <w:rsid w:val="71F74E77"/>
    <w:rsid w:val="720B4271"/>
    <w:rsid w:val="72B8241C"/>
    <w:rsid w:val="741750D3"/>
    <w:rsid w:val="74365D7D"/>
    <w:rsid w:val="76BB731D"/>
    <w:rsid w:val="7727026C"/>
    <w:rsid w:val="77860258"/>
    <w:rsid w:val="7A71013F"/>
    <w:rsid w:val="7B036D58"/>
    <w:rsid w:val="7B611057"/>
    <w:rsid w:val="7B9A4B6F"/>
    <w:rsid w:val="7FD6482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qFormat/>
    <w:uiPriority w:val="0"/>
    <w:pPr>
      <w:keepNext/>
      <w:keepLines/>
      <w:spacing w:before="260" w:after="260" w:line="416" w:lineRule="auto"/>
      <w:outlineLvl w:val="2"/>
    </w:pPr>
    <w:rPr>
      <w:b/>
      <w:bCs/>
      <w:kern w:val="0"/>
      <w:sz w:val="32"/>
      <w:szCs w:val="32"/>
    </w:rPr>
  </w:style>
  <w:style w:type="paragraph" w:styleId="6">
    <w:name w:val="heading 4"/>
    <w:basedOn w:val="1"/>
    <w:next w:val="1"/>
    <w:qFormat/>
    <w:uiPriority w:val="9"/>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2"/>
    <w:qFormat/>
    <w:uiPriority w:val="0"/>
    <w:pPr>
      <w:keepNext/>
      <w:keepLines/>
      <w:numPr>
        <w:ilvl w:val="4"/>
        <w:numId w:val="1"/>
      </w:numPr>
      <w:spacing w:before="280" w:after="290" w:line="376" w:lineRule="auto"/>
      <w:outlineLvl w:val="4"/>
    </w:pPr>
    <w:rPr>
      <w:b/>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8">
    <w:name w:val="index 8"/>
    <w:basedOn w:val="1"/>
    <w:next w:val="1"/>
    <w:qFormat/>
    <w:uiPriority w:val="0"/>
    <w:pPr>
      <w:ind w:left="2940"/>
    </w:p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unhideWhenUsed/>
    <w:qFormat/>
    <w:uiPriority w:val="0"/>
    <w:pPr>
      <w:jc w:val="left"/>
    </w:pPr>
  </w:style>
  <w:style w:type="paragraph" w:styleId="11">
    <w:name w:val="Body Text 3"/>
    <w:basedOn w:val="1"/>
    <w:qFormat/>
    <w:uiPriority w:val="0"/>
    <w:pPr>
      <w:spacing w:line="500" w:lineRule="exact"/>
    </w:pPr>
    <w:rPr>
      <w:b/>
      <w:bCs/>
      <w:kern w:val="0"/>
      <w:sz w:val="24"/>
    </w:rPr>
  </w:style>
  <w:style w:type="paragraph" w:styleId="12">
    <w:name w:val="Body Text"/>
    <w:basedOn w:val="1"/>
    <w:next w:val="13"/>
    <w:qFormat/>
    <w:uiPriority w:val="99"/>
    <w:pPr>
      <w:spacing w:line="380" w:lineRule="exact"/>
    </w:pPr>
    <w:rPr>
      <w:kern w:val="0"/>
      <w:sz w:val="24"/>
    </w:rPr>
  </w:style>
  <w:style w:type="paragraph" w:styleId="13">
    <w:name w:val="Body Text 2"/>
    <w:basedOn w:val="1"/>
    <w:qFormat/>
    <w:uiPriority w:val="0"/>
    <w:pPr>
      <w:spacing w:after="120" w:line="480" w:lineRule="auto"/>
    </w:pPr>
    <w:rPr>
      <w:kern w:val="0"/>
      <w:sz w:val="20"/>
    </w:rPr>
  </w:style>
  <w:style w:type="paragraph" w:styleId="14">
    <w:name w:val="Body Text Indent"/>
    <w:basedOn w:val="1"/>
    <w:qFormat/>
    <w:uiPriority w:val="0"/>
    <w:pPr>
      <w:ind w:firstLine="830" w:firstLineChars="352"/>
    </w:pPr>
    <w:rPr>
      <w:rFonts w:ascii="仿宋_GB2312" w:eastAsia="仿宋_GB2312"/>
      <w:kern w:val="0"/>
      <w:sz w:val="32"/>
      <w:szCs w:val="20"/>
    </w:rPr>
  </w:style>
  <w:style w:type="paragraph" w:styleId="15">
    <w:name w:val="Plain Text"/>
    <w:basedOn w:val="1"/>
    <w:next w:val="8"/>
    <w:qFormat/>
    <w:uiPriority w:val="0"/>
    <w:rPr>
      <w:rFonts w:ascii="宋体" w:hAnsi="Courier New"/>
      <w:kern w:val="0"/>
      <w:sz w:val="20"/>
      <w:szCs w:val="21"/>
    </w:rPr>
  </w:style>
  <w:style w:type="paragraph" w:styleId="16">
    <w:name w:val="Balloon Text"/>
    <w:basedOn w:val="1"/>
    <w:link w:val="35"/>
    <w:qFormat/>
    <w:uiPriority w:val="0"/>
    <w:rPr>
      <w:sz w:val="18"/>
      <w:szCs w:val="18"/>
    </w:rPr>
  </w:style>
  <w:style w:type="paragraph" w:styleId="17">
    <w:name w:val="footer"/>
    <w:basedOn w:val="1"/>
    <w:unhideWhenUsed/>
    <w:qFormat/>
    <w:uiPriority w:val="99"/>
    <w:pPr>
      <w:tabs>
        <w:tab w:val="center" w:pos="4153"/>
        <w:tab w:val="right" w:pos="8306"/>
      </w:tabs>
      <w:snapToGrid w:val="0"/>
      <w:jc w:val="left"/>
    </w:pPr>
    <w:rPr>
      <w:kern w:val="0"/>
      <w:sz w:val="18"/>
      <w:szCs w:val="18"/>
    </w:rPr>
  </w:style>
  <w:style w:type="paragraph" w:styleId="18">
    <w:name w:val="header"/>
    <w:basedOn w:val="1"/>
    <w:unhideWhenUsed/>
    <w:qFormat/>
    <w:uiPriority w:val="99"/>
    <w:pPr>
      <w:pBdr>
        <w:bottom w:val="single" w:color="auto" w:sz="6" w:space="1"/>
      </w:pBdr>
      <w:tabs>
        <w:tab w:val="center" w:pos="0"/>
        <w:tab w:val="left" w:pos="8306"/>
      </w:tabs>
      <w:snapToGrid w:val="0"/>
      <w:jc w:val="center"/>
    </w:pPr>
    <w:rPr>
      <w:sz w:val="18"/>
      <w:szCs w:val="18"/>
    </w:rPr>
  </w:style>
  <w:style w:type="paragraph" w:styleId="19">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20">
    <w:name w:val="List"/>
    <w:basedOn w:val="1"/>
    <w:qFormat/>
    <w:uiPriority w:val="0"/>
    <w:pPr>
      <w:ind w:left="200" w:hanging="200" w:hangingChars="200"/>
    </w:pPr>
    <w:rPr>
      <w:sz w:val="28"/>
    </w:rPr>
  </w:style>
  <w:style w:type="paragraph" w:styleId="21">
    <w:name w:val="toc 2"/>
    <w:basedOn w:val="1"/>
    <w:next w:val="1"/>
    <w:unhideWhenUsed/>
    <w:qFormat/>
    <w:uiPriority w:val="39"/>
    <w:pPr>
      <w:ind w:left="420" w:leftChars="200"/>
    </w:pPr>
  </w:style>
  <w:style w:type="paragraph" w:styleId="22">
    <w:name w:val="Normal (Web)"/>
    <w:basedOn w:val="1"/>
    <w:qFormat/>
    <w:uiPriority w:val="99"/>
    <w:pPr>
      <w:widowControl/>
      <w:spacing w:before="100" w:beforeAutospacing="1" w:after="100" w:afterAutospacing="1"/>
      <w:jc w:val="left"/>
    </w:pPr>
    <w:rPr>
      <w:rFonts w:ascii="宋体" w:hAnsi="宋体"/>
      <w:kern w:val="0"/>
      <w:sz w:val="24"/>
    </w:rPr>
  </w:style>
  <w:style w:type="paragraph" w:styleId="23">
    <w:name w:val="index 1"/>
    <w:basedOn w:val="1"/>
    <w:next w:val="1"/>
    <w:semiHidden/>
    <w:qFormat/>
    <w:uiPriority w:val="0"/>
    <w:pPr>
      <w:spacing w:line="400" w:lineRule="exact"/>
      <w:ind w:firstLine="420" w:firstLineChars="200"/>
    </w:pPr>
    <w:rPr>
      <w:rFonts w:ascii="宋体" w:hAnsi="Courier New"/>
      <w:b/>
      <w:szCs w:val="20"/>
    </w:rPr>
  </w:style>
  <w:style w:type="paragraph" w:styleId="24">
    <w:name w:val="Title"/>
    <w:basedOn w:val="1"/>
    <w:next w:val="1"/>
    <w:qFormat/>
    <w:uiPriority w:val="0"/>
    <w:pPr>
      <w:spacing w:before="240" w:after="60"/>
      <w:jc w:val="center"/>
      <w:outlineLvl w:val="0"/>
    </w:pPr>
    <w:rPr>
      <w:rFonts w:ascii="等线 Light" w:hAnsi="等线 Light"/>
      <w:b/>
      <w:bCs/>
      <w:sz w:val="32"/>
      <w:szCs w:val="32"/>
    </w:rPr>
  </w:style>
  <w:style w:type="table" w:styleId="26">
    <w:name w:val="Table Grid"/>
    <w:basedOn w:val="25"/>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8">
    <w:name w:val="Strong"/>
    <w:basedOn w:val="27"/>
    <w:qFormat/>
    <w:uiPriority w:val="0"/>
    <w:rPr>
      <w:b/>
    </w:rPr>
  </w:style>
  <w:style w:type="character" w:styleId="29">
    <w:name w:val="page number"/>
    <w:qFormat/>
    <w:uiPriority w:val="0"/>
  </w:style>
  <w:style w:type="character" w:styleId="30">
    <w:name w:val="annotation reference"/>
    <w:basedOn w:val="27"/>
    <w:qFormat/>
    <w:uiPriority w:val="0"/>
    <w:rPr>
      <w:sz w:val="21"/>
      <w:szCs w:val="21"/>
    </w:rPr>
  </w:style>
  <w:style w:type="character" w:customStyle="1" w:styleId="31">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table" w:customStyle="1" w:styleId="32">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paragraph" w:customStyle="1" w:styleId="33">
    <w:name w:val="Table Text"/>
    <w:basedOn w:val="1"/>
    <w:semiHidden/>
    <w:qFormat/>
    <w:uiPriority w:val="0"/>
    <w:rPr>
      <w:rFonts w:ascii="宋体" w:hAnsi="宋体" w:cs="宋体"/>
      <w:sz w:val="20"/>
      <w:szCs w:val="20"/>
      <w:lang w:eastAsia="en-US"/>
    </w:rPr>
  </w:style>
  <w:style w:type="paragraph" w:customStyle="1" w:styleId="34">
    <w:name w:val="表内文字"/>
    <w:basedOn w:val="1"/>
    <w:qFormat/>
    <w:uiPriority w:val="0"/>
    <w:pPr>
      <w:snapToGrid w:val="0"/>
      <w:spacing w:before="50" w:after="50"/>
      <w:jc w:val="center"/>
    </w:pPr>
    <w:rPr>
      <w:rFonts w:ascii="仿宋_GB2312" w:hAnsi="宋体" w:eastAsia="仿宋_GB2312"/>
      <w:b/>
      <w:color w:val="000000"/>
      <w:sz w:val="32"/>
      <w:szCs w:val="32"/>
    </w:rPr>
  </w:style>
  <w:style w:type="character" w:customStyle="1" w:styleId="35">
    <w:name w:val="批注框文本 Char"/>
    <w:basedOn w:val="27"/>
    <w:link w:val="16"/>
    <w:qFormat/>
    <w:uiPriority w:val="0"/>
    <w:rPr>
      <w:rFonts w:ascii="Times New Roman" w:hAnsi="Times New Roman" w:eastAsia="宋体" w:cs="Times New Roman"/>
      <w:kern w:val="2"/>
      <w:sz w:val="18"/>
      <w:szCs w:val="18"/>
    </w:rPr>
  </w:style>
  <w:style w:type="paragraph" w:styleId="36">
    <w:name w:val="List Paragraph"/>
    <w:basedOn w:val="1"/>
    <w:unhideWhenUsed/>
    <w:qFormat/>
    <w:uiPriority w:val="34"/>
    <w:pPr>
      <w:ind w:firstLine="420" w:firstLineChars="200"/>
    </w:pPr>
    <w:rPr>
      <w:rFonts w:ascii="Calibri" w:hAnsi="Calibri"/>
      <w:szCs w:val="22"/>
    </w:rPr>
  </w:style>
  <w:style w:type="paragraph" w:customStyle="1" w:styleId="37">
    <w:name w:val="Default"/>
    <w:basedOn w:val="24"/>
    <w:qFormat/>
    <w:uiPriority w:val="0"/>
    <w:pPr>
      <w:autoSpaceDE w:val="0"/>
      <w:autoSpaceDN w:val="0"/>
      <w:adjustRightInd w:val="0"/>
    </w:pPr>
    <w:rPr>
      <w:rFonts w:ascii="Calibri" w:hAnsi="Calibri"/>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4.png"/><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138</Pages>
  <Words>13445</Words>
  <Characters>15611</Characters>
  <Lines>729</Lines>
  <Paragraphs>205</Paragraphs>
  <TotalTime>3</TotalTime>
  <ScaleCrop>false</ScaleCrop>
  <LinksUpToDate>false</LinksUpToDate>
  <CharactersWithSpaces>15778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2025-08-26T15:33:00Z</dcterms:created>
  <dc:creator>季威</dc:creator>
  <cp:lastModifiedBy>½一半</cp:lastModifiedBy>
  <dcterms:modified xsi:type="dcterms:W3CDTF">2026-09-20T07:01:28Z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eyJoZGlkIjoiZWZiMjVkYzk2NWU2ZWQ3YTYxZGUwODk5YTdjN2RiNGYiLCJ1c2VySWQiOiI0NjcxODg5MTkifQ==</vt:lpwstr>
  </property>
  <property fmtid="{D5CDD505-2E9C-101B-9397-08002B2CF9AE}" pid="4" name="ICV">
    <vt:lpwstr>9B7E900DD08F4D348792FC1935D4E947_13</vt:lpwstr>
  </property>
</Properties>
</file>